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C9" w:rsidRDefault="004562C9" w:rsidP="004562C9">
      <w:r>
        <w:rPr>
          <w:rFonts w:ascii="Bell MT" w:eastAsia="MS Mincho" w:hAnsi="Bell MT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 wp14:anchorId="3B50ABBD" wp14:editId="20D93D1D">
            <wp:simplePos x="0" y="0"/>
            <wp:positionH relativeFrom="column">
              <wp:posOffset>71755</wp:posOffset>
            </wp:positionH>
            <wp:positionV relativeFrom="paragraph">
              <wp:posOffset>-261620</wp:posOffset>
            </wp:positionV>
            <wp:extent cx="2533650" cy="1038225"/>
            <wp:effectExtent l="0" t="0" r="0" b="9525"/>
            <wp:wrapNone/>
            <wp:docPr id="6" name="Image 6" descr="C:\Users\OLIVIER\Documents\JPEG CMJN 300 dpi\JPEG CMJN 300 dpi\Universite Bordeaux CMJ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VIER\Documents\JPEG CMJN 300 dpi\JPEG CMJN 300 dpi\Universite Bordeaux CMJN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2C9" w:rsidRDefault="004562C9" w:rsidP="004562C9"/>
    <w:p w:rsidR="004562C9" w:rsidRDefault="004562C9" w:rsidP="004562C9"/>
    <w:p w:rsidR="004562C9" w:rsidRDefault="004562C9" w:rsidP="004562C9">
      <w:pPr>
        <w:spacing w:after="0" w:line="240" w:lineRule="auto"/>
        <w:jc w:val="center"/>
        <w:rPr>
          <w:rFonts w:ascii="Bell MT" w:eastAsia="MS Mincho" w:hAnsi="Bell MT" w:cs="Times New Roman"/>
          <w:b/>
          <w:sz w:val="28"/>
          <w:szCs w:val="28"/>
        </w:rPr>
      </w:pPr>
    </w:p>
    <w:p w:rsidR="004562C9" w:rsidRPr="00A247F1" w:rsidRDefault="004562C9" w:rsidP="004562C9">
      <w:pPr>
        <w:spacing w:after="0" w:line="240" w:lineRule="auto"/>
        <w:jc w:val="center"/>
        <w:rPr>
          <w:rFonts w:ascii="Bell MT" w:eastAsia="MS Mincho" w:hAnsi="Bell MT" w:cs="Times New Roman"/>
          <w:b/>
          <w:sz w:val="28"/>
          <w:szCs w:val="28"/>
        </w:rPr>
      </w:pPr>
      <w:r>
        <w:rPr>
          <w:rFonts w:ascii="Bell MT" w:eastAsia="MS Mincho" w:hAnsi="Bell MT" w:cs="Times New Roman"/>
          <w:b/>
          <w:sz w:val="28"/>
          <w:szCs w:val="28"/>
        </w:rPr>
        <w:t xml:space="preserve">Ex UNIVERSITE </w:t>
      </w:r>
      <w:r w:rsidRPr="00A247F1">
        <w:rPr>
          <w:rFonts w:ascii="Bell MT" w:eastAsia="MS Mincho" w:hAnsi="Bell MT" w:cs="Times New Roman"/>
          <w:b/>
          <w:sz w:val="28"/>
          <w:szCs w:val="28"/>
        </w:rPr>
        <w:t>MONTESQUIEU-BORDEAUX IV</w:t>
      </w:r>
    </w:p>
    <w:p w:rsidR="004562C9" w:rsidRPr="00A247F1" w:rsidRDefault="004562C9" w:rsidP="004562C9">
      <w:pPr>
        <w:spacing w:after="0" w:line="240" w:lineRule="auto"/>
        <w:jc w:val="center"/>
        <w:rPr>
          <w:rFonts w:ascii="Bell MT" w:eastAsia="MS Mincho" w:hAnsi="Bell MT" w:cs="Times New Roman"/>
          <w:b/>
          <w:sz w:val="28"/>
          <w:szCs w:val="28"/>
        </w:rPr>
      </w:pPr>
    </w:p>
    <w:p w:rsidR="004562C9" w:rsidRPr="00A247F1" w:rsidRDefault="00376E6D" w:rsidP="004562C9">
      <w:pPr>
        <w:spacing w:after="0" w:line="240" w:lineRule="auto"/>
        <w:jc w:val="center"/>
        <w:rPr>
          <w:rFonts w:ascii="Bell MT" w:eastAsia="MS Mincho" w:hAnsi="Bell MT" w:cs="Times New Roman"/>
          <w:b/>
          <w:sz w:val="28"/>
          <w:szCs w:val="28"/>
        </w:rPr>
      </w:pPr>
      <w:r>
        <w:rPr>
          <w:rFonts w:ascii="Bell MT" w:eastAsia="MS Mincho" w:hAnsi="Bell MT" w:cs="Times New Roman"/>
          <w:b/>
          <w:sz w:val="28"/>
          <w:szCs w:val="28"/>
        </w:rPr>
        <w:t>Année universitaire 2014-2015</w:t>
      </w:r>
    </w:p>
    <w:p w:rsidR="004562C9" w:rsidRDefault="004562C9" w:rsidP="004562C9">
      <w:pPr>
        <w:spacing w:after="0" w:line="240" w:lineRule="auto"/>
        <w:jc w:val="center"/>
        <w:rPr>
          <w:rFonts w:ascii="Bell MT" w:eastAsia="MS Mincho" w:hAnsi="Bell MT" w:cs="Times New Roman"/>
          <w:b/>
          <w:sz w:val="28"/>
          <w:szCs w:val="28"/>
        </w:rPr>
      </w:pPr>
    </w:p>
    <w:p w:rsidR="004D6433" w:rsidRPr="00A247F1" w:rsidRDefault="004D6433" w:rsidP="004562C9">
      <w:pPr>
        <w:spacing w:after="0" w:line="240" w:lineRule="auto"/>
        <w:jc w:val="center"/>
        <w:rPr>
          <w:rFonts w:ascii="Bell MT" w:eastAsia="MS Mincho" w:hAnsi="Bell MT" w:cs="Times New Roman"/>
          <w:b/>
          <w:sz w:val="28"/>
          <w:szCs w:val="28"/>
        </w:rPr>
      </w:pPr>
    </w:p>
    <w:p w:rsidR="004562C9" w:rsidRPr="00A247F1" w:rsidRDefault="004562C9" w:rsidP="004562C9">
      <w:pPr>
        <w:spacing w:after="0" w:line="240" w:lineRule="auto"/>
        <w:jc w:val="center"/>
        <w:rPr>
          <w:rFonts w:ascii="Bell MT" w:eastAsia="MS Mincho" w:hAnsi="Bell MT" w:cs="Times New Roman"/>
          <w:b/>
          <w:sz w:val="28"/>
          <w:szCs w:val="28"/>
        </w:rPr>
      </w:pPr>
      <w:r w:rsidRPr="00A247F1">
        <w:rPr>
          <w:rFonts w:ascii="Bell MT" w:eastAsia="MS Mincho" w:hAnsi="Bell MT" w:cs="Times New Roman"/>
          <w:b/>
          <w:sz w:val="28"/>
          <w:szCs w:val="28"/>
        </w:rPr>
        <w:t>3</w:t>
      </w:r>
      <w:r w:rsidRPr="00A247F1">
        <w:rPr>
          <w:rFonts w:ascii="Bell MT" w:eastAsia="MS Mincho" w:hAnsi="Bell MT" w:cs="Times New Roman"/>
          <w:b/>
          <w:sz w:val="28"/>
          <w:szCs w:val="28"/>
          <w:vertAlign w:val="superscript"/>
        </w:rPr>
        <w:t>ème</w:t>
      </w:r>
      <w:r w:rsidRPr="00A247F1">
        <w:rPr>
          <w:rFonts w:ascii="Bell MT" w:eastAsia="MS Mincho" w:hAnsi="Bell MT" w:cs="Times New Roman"/>
          <w:b/>
          <w:sz w:val="28"/>
          <w:szCs w:val="28"/>
        </w:rPr>
        <w:t xml:space="preserve"> année de Licence en Droit</w:t>
      </w:r>
    </w:p>
    <w:p w:rsidR="004562C9" w:rsidRDefault="004562C9" w:rsidP="004562C9">
      <w:pPr>
        <w:spacing w:after="0" w:line="240" w:lineRule="auto"/>
        <w:jc w:val="center"/>
        <w:rPr>
          <w:rFonts w:ascii="Bell MT" w:eastAsia="MS Mincho" w:hAnsi="Bell MT" w:cs="Times New Roman"/>
          <w:b/>
          <w:sz w:val="28"/>
          <w:szCs w:val="28"/>
        </w:rPr>
      </w:pPr>
      <w:r w:rsidRPr="00A247F1">
        <w:rPr>
          <w:rFonts w:ascii="Bell MT" w:eastAsia="MS Mincho" w:hAnsi="Bell MT" w:cs="Times New Roman"/>
          <w:b/>
          <w:sz w:val="28"/>
          <w:szCs w:val="28"/>
        </w:rPr>
        <w:t>Semestre 6</w:t>
      </w:r>
    </w:p>
    <w:p w:rsidR="004D6433" w:rsidRDefault="004D6433" w:rsidP="004562C9">
      <w:pPr>
        <w:spacing w:after="0" w:line="240" w:lineRule="auto"/>
        <w:jc w:val="center"/>
        <w:rPr>
          <w:rFonts w:ascii="Bell MT" w:eastAsia="MS Mincho" w:hAnsi="Bell MT" w:cs="Times New Roman"/>
          <w:b/>
          <w:sz w:val="28"/>
          <w:szCs w:val="28"/>
        </w:rPr>
      </w:pPr>
    </w:p>
    <w:p w:rsidR="004D6433" w:rsidRPr="004D6433" w:rsidRDefault="004D6433" w:rsidP="004562C9">
      <w:pPr>
        <w:spacing w:after="0" w:line="240" w:lineRule="auto"/>
        <w:jc w:val="center"/>
        <w:rPr>
          <w:rFonts w:ascii="Bell MT" w:eastAsia="MS Mincho" w:hAnsi="Bell MT" w:cs="Times New Roman"/>
          <w:b/>
          <w:color w:val="00B0F0"/>
          <w:sz w:val="50"/>
          <w:szCs w:val="28"/>
          <w:u w:val="single"/>
        </w:rPr>
      </w:pPr>
      <w:r w:rsidRPr="004D6433">
        <w:rPr>
          <w:rFonts w:ascii="Bell MT" w:eastAsia="MS Mincho" w:hAnsi="Bell MT" w:cs="Times New Roman"/>
          <w:b/>
          <w:color w:val="00B0F0"/>
          <w:sz w:val="50"/>
          <w:szCs w:val="28"/>
          <w:u w:val="single"/>
        </w:rPr>
        <w:t>PLAN</w:t>
      </w:r>
    </w:p>
    <w:p w:rsidR="004562C9" w:rsidRDefault="004562C9" w:rsidP="004562C9"/>
    <w:p w:rsidR="00AF5C2E" w:rsidRPr="004D6433" w:rsidRDefault="00AF5C2E" w:rsidP="00AF5C2E">
      <w:pPr>
        <w:pStyle w:val="Titre"/>
        <w:jc w:val="center"/>
        <w:rPr>
          <w:color w:val="00B0F0"/>
          <w:szCs w:val="72"/>
        </w:rPr>
      </w:pPr>
      <w:r w:rsidRPr="0012747C">
        <w:rPr>
          <w:sz w:val="72"/>
          <w:szCs w:val="72"/>
        </w:rPr>
        <w:t xml:space="preserve">   </w:t>
      </w:r>
      <w:r w:rsidRPr="004D6433">
        <w:rPr>
          <w:color w:val="00B0F0"/>
          <w:szCs w:val="72"/>
        </w:rPr>
        <w:t xml:space="preserve">Droit </w:t>
      </w:r>
    </w:p>
    <w:p w:rsidR="00AF5C2E" w:rsidRPr="004D6433" w:rsidRDefault="00AF5C2E" w:rsidP="00AF5C2E">
      <w:pPr>
        <w:pStyle w:val="Titre"/>
        <w:jc w:val="center"/>
        <w:rPr>
          <w:color w:val="00B0F0"/>
          <w:szCs w:val="72"/>
        </w:rPr>
      </w:pPr>
      <w:proofErr w:type="gramStart"/>
      <w:r w:rsidRPr="004D6433">
        <w:rPr>
          <w:color w:val="00B0F0"/>
          <w:szCs w:val="72"/>
        </w:rPr>
        <w:t>de</w:t>
      </w:r>
      <w:proofErr w:type="gramEnd"/>
      <w:r w:rsidRPr="004D6433">
        <w:rPr>
          <w:color w:val="00B0F0"/>
          <w:szCs w:val="72"/>
        </w:rPr>
        <w:t xml:space="preserve"> </w:t>
      </w:r>
    </w:p>
    <w:p w:rsidR="00AF5C2E" w:rsidRPr="004D6433" w:rsidRDefault="00AF5C2E" w:rsidP="00AF5C2E">
      <w:pPr>
        <w:pStyle w:val="Titre"/>
        <w:jc w:val="center"/>
        <w:rPr>
          <w:color w:val="00B0F0"/>
          <w:szCs w:val="72"/>
        </w:rPr>
      </w:pPr>
      <w:proofErr w:type="gramStart"/>
      <w:r w:rsidRPr="004D6433">
        <w:rPr>
          <w:color w:val="00B0F0"/>
          <w:szCs w:val="72"/>
        </w:rPr>
        <w:t>l’Union</w:t>
      </w:r>
      <w:proofErr w:type="gramEnd"/>
      <w:r w:rsidRPr="004D6433">
        <w:rPr>
          <w:color w:val="00B0F0"/>
          <w:szCs w:val="72"/>
        </w:rPr>
        <w:t xml:space="preserve"> Européenne</w:t>
      </w:r>
    </w:p>
    <w:p w:rsidR="00AF5C2E" w:rsidRPr="00605BF0" w:rsidRDefault="00AF5C2E" w:rsidP="00AF5C2E">
      <w:pPr>
        <w:jc w:val="center"/>
        <w:rPr>
          <w:sz w:val="24"/>
        </w:rPr>
      </w:pPr>
      <w:r w:rsidRPr="00605BF0">
        <w:rPr>
          <w:i/>
          <w:sz w:val="24"/>
        </w:rPr>
        <w:t>Par</w:t>
      </w:r>
      <w:r w:rsidRPr="00605BF0">
        <w:rPr>
          <w:sz w:val="24"/>
        </w:rPr>
        <w:t xml:space="preserve"> FRANCETTE FINES</w:t>
      </w:r>
    </w:p>
    <w:p w:rsidR="00AF5C2E" w:rsidRDefault="00AF5C2E" w:rsidP="00AF5C2E">
      <w:pPr>
        <w:pStyle w:val="TM1"/>
      </w:pPr>
    </w:p>
    <w:p w:rsidR="00AF5C2E" w:rsidRPr="006971D8" w:rsidRDefault="00AF5C2E" w:rsidP="00AF5C2E">
      <w:pPr>
        <w:pStyle w:val="TM1"/>
      </w:pPr>
    </w:p>
    <w:p w:rsidR="00AF5C2E" w:rsidRPr="002E55DD" w:rsidRDefault="00AF5C2E" w:rsidP="00AF5C2E">
      <w:pPr>
        <w:pStyle w:val="TM1"/>
        <w:rPr>
          <w:rFonts w:eastAsia="Times New Roman"/>
        </w:rPr>
      </w:pPr>
      <w:r>
        <w:t>INTRODUCTION</w:t>
      </w:r>
    </w:p>
    <w:p w:rsidR="00AF5C2E" w:rsidRPr="00835BE6" w:rsidRDefault="00AF5C2E" w:rsidP="00AF5C2E">
      <w:pPr>
        <w:pStyle w:val="TM1"/>
        <w:rPr>
          <w:rFonts w:eastAsia="Times New Roman"/>
        </w:rPr>
      </w:pPr>
      <w:r w:rsidRPr="00835BE6">
        <w:t>I.</w:t>
      </w:r>
      <w:r w:rsidRPr="00835BE6">
        <w:rPr>
          <w:rFonts w:eastAsia="Times New Roman"/>
        </w:rPr>
        <w:t xml:space="preserve">      </w:t>
      </w:r>
      <w:r w:rsidRPr="00835BE6">
        <w:t>L’origine de la construction communautaire</w:t>
      </w:r>
    </w:p>
    <w:p w:rsidR="00AF5C2E" w:rsidRPr="00CE6AD8" w:rsidRDefault="00AF5C2E" w:rsidP="00AF5C2E">
      <w:pPr>
        <w:pStyle w:val="TM5"/>
        <w:tabs>
          <w:tab w:val="left" w:pos="1701"/>
        </w:tabs>
        <w:rPr>
          <w:rFonts w:eastAsia="Times New Roman"/>
        </w:rPr>
      </w:pPr>
      <w:r>
        <w:tab/>
      </w:r>
      <w:r w:rsidRPr="00CE6AD8">
        <w:t>1.</w:t>
      </w:r>
      <w:r>
        <w:rPr>
          <w:rFonts w:eastAsia="Times New Roman"/>
        </w:rPr>
        <w:t xml:space="preserve"> </w:t>
      </w:r>
      <w:smartTag w:uri="urn:schemas-microsoft-com:office:smarttags" w:element="PersonName">
        <w:smartTagPr>
          <w:attr w:name="ProductID" w:val="La CECA"/>
        </w:smartTagPr>
        <w:r w:rsidRPr="00CE6AD8">
          <w:t>La CECA</w:t>
        </w:r>
      </w:smartTag>
    </w:p>
    <w:p w:rsidR="00AF5C2E" w:rsidRPr="00CE6AD8" w:rsidRDefault="00AF5C2E" w:rsidP="00AF5C2E">
      <w:pPr>
        <w:pStyle w:val="TM5"/>
        <w:tabs>
          <w:tab w:val="left" w:pos="1701"/>
        </w:tabs>
        <w:rPr>
          <w:rFonts w:eastAsia="Times New Roman"/>
        </w:rPr>
      </w:pPr>
      <w:r>
        <w:tab/>
      </w:r>
      <w:r w:rsidRPr="00CE6AD8">
        <w:t>2.</w:t>
      </w:r>
      <w:r>
        <w:rPr>
          <w:rFonts w:eastAsia="Times New Roman"/>
        </w:rPr>
        <w:t xml:space="preserve"> </w:t>
      </w:r>
      <w:r w:rsidRPr="00CE6AD8">
        <w:t xml:space="preserve">Les </w:t>
      </w:r>
      <w:r>
        <w:t xml:space="preserve">deux </w:t>
      </w:r>
      <w:r w:rsidRPr="00CE6AD8">
        <w:t>Comunautés créées par les traités de Rome</w:t>
      </w:r>
    </w:p>
    <w:p w:rsidR="00AF5C2E" w:rsidRPr="006971D8" w:rsidRDefault="00AF5C2E" w:rsidP="00AF5C2E">
      <w:pPr>
        <w:pStyle w:val="TM1"/>
        <w:rPr>
          <w:rStyle w:val="Lienhypertexte"/>
          <w:b w:val="0"/>
          <w:color w:val="auto"/>
          <w:sz w:val="20"/>
          <w:szCs w:val="20"/>
        </w:rPr>
      </w:pPr>
      <w:r w:rsidRPr="00CE6AD8">
        <w:t>II.     L’approfondissement de l’intégration européenne</w:t>
      </w:r>
    </w:p>
    <w:p w:rsidR="00AF5C2E" w:rsidRDefault="00AF5C2E" w:rsidP="00AF5C2E">
      <w:pPr>
        <w:numPr>
          <w:ilvl w:val="0"/>
          <w:numId w:val="1"/>
        </w:numPr>
        <w:tabs>
          <w:tab w:val="left" w:pos="1701"/>
        </w:tabs>
        <w:rPr>
          <w:sz w:val="20"/>
          <w:szCs w:val="20"/>
        </w:rPr>
      </w:pPr>
      <w:r>
        <w:rPr>
          <w:sz w:val="20"/>
          <w:szCs w:val="20"/>
        </w:rPr>
        <w:t>Les réalisations dans les années quatre-vingt</w:t>
      </w:r>
    </w:p>
    <w:p w:rsidR="00AF5C2E" w:rsidRDefault="00AF5C2E" w:rsidP="00AF5C2E">
      <w:pPr>
        <w:numPr>
          <w:ilvl w:val="0"/>
          <w:numId w:val="1"/>
        </w:numPr>
        <w:tabs>
          <w:tab w:val="left" w:pos="1701"/>
        </w:tabs>
        <w:rPr>
          <w:sz w:val="20"/>
          <w:szCs w:val="20"/>
        </w:rPr>
      </w:pPr>
      <w:r>
        <w:rPr>
          <w:sz w:val="20"/>
          <w:szCs w:val="20"/>
        </w:rPr>
        <w:t>L’institution de l’Union européenne avec le traité de Maastricht</w:t>
      </w:r>
    </w:p>
    <w:p w:rsidR="00AF5C2E" w:rsidRPr="006971D8" w:rsidRDefault="00AF5C2E" w:rsidP="00AF5C2E">
      <w:pPr>
        <w:numPr>
          <w:ilvl w:val="0"/>
          <w:numId w:val="1"/>
        </w:numPr>
        <w:tabs>
          <w:tab w:val="left" w:pos="1701"/>
        </w:tabs>
        <w:rPr>
          <w:sz w:val="20"/>
          <w:szCs w:val="20"/>
        </w:rPr>
      </w:pPr>
      <w:r>
        <w:rPr>
          <w:sz w:val="20"/>
          <w:szCs w:val="20"/>
        </w:rPr>
        <w:t>La transformation de l’Union européenne par le traité de Lisbonne</w:t>
      </w:r>
    </w:p>
    <w:p w:rsidR="00AF5C2E" w:rsidRDefault="00AF5C2E" w:rsidP="008B4D5A">
      <w:pPr>
        <w:tabs>
          <w:tab w:val="left" w:pos="1701"/>
        </w:tabs>
        <w:jc w:val="both"/>
        <w:rPr>
          <w:b/>
          <w:bCs/>
          <w:sz w:val="24"/>
          <w:szCs w:val="20"/>
        </w:rPr>
      </w:pPr>
      <w:r w:rsidRPr="00835BE6">
        <w:rPr>
          <w:b/>
          <w:bCs/>
          <w:sz w:val="24"/>
          <w:szCs w:val="20"/>
        </w:rPr>
        <w:t>III.     Les élargissements successifs des institutions européennes</w:t>
      </w:r>
    </w:p>
    <w:p w:rsidR="00AF5C2E" w:rsidRPr="0094619D" w:rsidRDefault="00AF5C2E" w:rsidP="00AF5C2E">
      <w:pPr>
        <w:pStyle w:val="TM1"/>
        <w:jc w:val="center"/>
        <w:rPr>
          <w:rFonts w:eastAsia="Times New Roman"/>
        </w:rPr>
      </w:pPr>
      <w:r w:rsidRPr="0094619D">
        <w:rPr>
          <w:rStyle w:val="Lienhypertexte"/>
          <w:color w:val="000000"/>
          <w:sz w:val="28"/>
        </w:rPr>
        <w:lastRenderedPageBreak/>
        <w:t>PARTIE I</w:t>
      </w:r>
    </w:p>
    <w:p w:rsidR="00AF5C2E" w:rsidRPr="00C27920" w:rsidRDefault="00AF5C2E" w:rsidP="00AF5C2E">
      <w:pPr>
        <w:jc w:val="center"/>
        <w:rPr>
          <w:b/>
          <w:bCs/>
          <w:sz w:val="28"/>
          <w:szCs w:val="28"/>
          <w:u w:val="single"/>
        </w:rPr>
      </w:pPr>
      <w:r w:rsidRPr="00C27920">
        <w:rPr>
          <w:b/>
          <w:bCs/>
          <w:sz w:val="28"/>
          <w:szCs w:val="28"/>
          <w:u w:val="single"/>
        </w:rPr>
        <w:t>LES FONDEMENTS DE L'UNION EUROPÉENNE</w:t>
      </w:r>
    </w:p>
    <w:p w:rsidR="00AF5C2E" w:rsidRPr="006971D8" w:rsidRDefault="00AF5C2E" w:rsidP="00AF5C2E">
      <w:pPr>
        <w:jc w:val="both"/>
        <w:rPr>
          <w:sz w:val="24"/>
          <w:szCs w:val="24"/>
        </w:rPr>
      </w:pPr>
    </w:p>
    <w:p w:rsidR="00AF5C2E" w:rsidRDefault="00AF5C2E" w:rsidP="00AF5C2E">
      <w:pPr>
        <w:ind w:left="708" w:firstLine="708"/>
        <w:jc w:val="center"/>
        <w:rPr>
          <w:b/>
          <w:bCs/>
          <w:sz w:val="24"/>
          <w:szCs w:val="24"/>
        </w:rPr>
      </w:pPr>
      <w:r w:rsidRPr="00534FA5">
        <w:rPr>
          <w:b/>
          <w:bCs/>
          <w:sz w:val="24"/>
          <w:szCs w:val="24"/>
        </w:rPr>
        <w:t xml:space="preserve">Chapitre I : </w:t>
      </w:r>
      <w:r>
        <w:rPr>
          <w:b/>
          <w:bCs/>
          <w:sz w:val="24"/>
          <w:szCs w:val="24"/>
        </w:rPr>
        <w:t>LES BASES STRUCTURELLES</w:t>
      </w:r>
    </w:p>
    <w:p w:rsidR="00AF5C2E" w:rsidRPr="006971D8" w:rsidRDefault="00AF5C2E" w:rsidP="00AF5C2E">
      <w:pPr>
        <w:jc w:val="both"/>
        <w:rPr>
          <w:sz w:val="24"/>
          <w:szCs w:val="24"/>
        </w:rPr>
      </w:pPr>
      <w:r w:rsidRPr="00CE6AD8">
        <w:rPr>
          <w:sz w:val="24"/>
          <w:szCs w:val="24"/>
        </w:rPr>
        <w:tab/>
      </w:r>
      <w:r w:rsidRPr="00D20F3E">
        <w:rPr>
          <w:b/>
          <w:sz w:val="24"/>
          <w:szCs w:val="24"/>
          <w:u w:val="single"/>
        </w:rPr>
        <w:t>Section 1</w:t>
      </w:r>
      <w:r w:rsidRPr="00CE6AD8">
        <w:rPr>
          <w:sz w:val="24"/>
          <w:szCs w:val="24"/>
        </w:rPr>
        <w:t> : Les compos</w:t>
      </w:r>
      <w:r>
        <w:rPr>
          <w:sz w:val="24"/>
          <w:szCs w:val="24"/>
        </w:rPr>
        <w:t>antes de l’UE</w:t>
      </w:r>
    </w:p>
    <w:p w:rsidR="00AF5C2E" w:rsidRPr="00990CC2" w:rsidRDefault="00AF5C2E" w:rsidP="00AF5C2E">
      <w:pPr>
        <w:jc w:val="both"/>
        <w:rPr>
          <w:szCs w:val="20"/>
        </w:rPr>
      </w:pPr>
      <w:r w:rsidRPr="00990CC2">
        <w:rPr>
          <w:szCs w:val="20"/>
        </w:rPr>
        <w:t>A/ L’arch</w:t>
      </w:r>
      <w:r>
        <w:rPr>
          <w:szCs w:val="20"/>
        </w:rPr>
        <w:t>itecture de l’Union européenne</w:t>
      </w:r>
    </w:p>
    <w:p w:rsidR="00AF5C2E" w:rsidRPr="006971D8" w:rsidRDefault="00AF5C2E" w:rsidP="00AF5C2E">
      <w:pPr>
        <w:ind w:firstLine="708"/>
        <w:jc w:val="both"/>
      </w:pPr>
      <w:r w:rsidRPr="00CE6AD8">
        <w:rPr>
          <w:sz w:val="20"/>
          <w:szCs w:val="20"/>
        </w:rPr>
        <w:t xml:space="preserve">1. </w:t>
      </w:r>
      <w:r>
        <w:rPr>
          <w:sz w:val="20"/>
          <w:szCs w:val="20"/>
        </w:rPr>
        <w:t xml:space="preserve">L’ancienne </w:t>
      </w:r>
      <w:r w:rsidRPr="00CE6AD8">
        <w:rPr>
          <w:sz w:val="20"/>
          <w:szCs w:val="20"/>
        </w:rPr>
        <w:t>structure en piliers</w:t>
      </w:r>
      <w:r>
        <w:rPr>
          <w:sz w:val="20"/>
          <w:szCs w:val="20"/>
        </w:rPr>
        <w:t xml:space="preserve"> bâtie par le traité de Maastricht</w:t>
      </w:r>
    </w:p>
    <w:p w:rsidR="00AF5C2E" w:rsidRPr="006971D8" w:rsidRDefault="00AF5C2E" w:rsidP="00AF5C2E">
      <w:pPr>
        <w:ind w:firstLine="708"/>
        <w:jc w:val="both"/>
        <w:rPr>
          <w:sz w:val="20"/>
          <w:szCs w:val="20"/>
        </w:rPr>
      </w:pPr>
      <w:r w:rsidRPr="006971D8">
        <w:rPr>
          <w:sz w:val="20"/>
          <w:szCs w:val="20"/>
        </w:rPr>
        <w:t xml:space="preserve">2. Les </w:t>
      </w:r>
      <w:r>
        <w:rPr>
          <w:sz w:val="20"/>
          <w:szCs w:val="20"/>
        </w:rPr>
        <w:t>transformations apportées par le traité de Lisbonne</w:t>
      </w:r>
    </w:p>
    <w:p w:rsidR="00AF5C2E" w:rsidRPr="006971D8" w:rsidRDefault="00AF5C2E" w:rsidP="00AF5C2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a) L’unification de la structure</w:t>
      </w:r>
    </w:p>
    <w:p w:rsidR="00AF5C2E" w:rsidRPr="006971D8" w:rsidRDefault="00AF5C2E" w:rsidP="00AF5C2E">
      <w:pPr>
        <w:ind w:firstLine="708"/>
        <w:jc w:val="both"/>
        <w:rPr>
          <w:sz w:val="20"/>
          <w:szCs w:val="20"/>
        </w:rPr>
      </w:pPr>
      <w:r w:rsidRPr="00CE6AD8">
        <w:rPr>
          <w:sz w:val="20"/>
          <w:szCs w:val="20"/>
        </w:rPr>
        <w:t>b</w:t>
      </w:r>
      <w:r>
        <w:rPr>
          <w:sz w:val="20"/>
          <w:szCs w:val="20"/>
        </w:rPr>
        <w:t>) La coexistence des traités</w:t>
      </w:r>
    </w:p>
    <w:p w:rsidR="00AF5C2E" w:rsidRPr="00990CC2" w:rsidRDefault="00AF5C2E" w:rsidP="00AF5C2E">
      <w:pPr>
        <w:jc w:val="both"/>
        <w:rPr>
          <w:szCs w:val="20"/>
        </w:rPr>
      </w:pPr>
      <w:r>
        <w:rPr>
          <w:szCs w:val="20"/>
        </w:rPr>
        <w:t>B/ Les politiques de l’UE</w:t>
      </w:r>
    </w:p>
    <w:p w:rsidR="00AF5C2E" w:rsidRPr="006971D8" w:rsidRDefault="00AF5C2E" w:rsidP="00AF5C2E">
      <w:pPr>
        <w:ind w:firstLine="708"/>
        <w:jc w:val="both"/>
        <w:rPr>
          <w:sz w:val="20"/>
          <w:szCs w:val="20"/>
        </w:rPr>
      </w:pPr>
      <w:r w:rsidRPr="00CE6AD8">
        <w:rPr>
          <w:sz w:val="20"/>
          <w:szCs w:val="20"/>
        </w:rPr>
        <w:t xml:space="preserve">1. </w:t>
      </w:r>
      <w:r>
        <w:rPr>
          <w:sz w:val="20"/>
          <w:szCs w:val="20"/>
        </w:rPr>
        <w:t>Les politiques internes</w:t>
      </w:r>
      <w:r>
        <w:rPr>
          <w:webHidden/>
          <w:sz w:val="20"/>
          <w:szCs w:val="20"/>
        </w:rPr>
        <w:t xml:space="preserve"> de l’UE</w:t>
      </w:r>
    </w:p>
    <w:p w:rsidR="00AF5C2E" w:rsidRPr="006971D8" w:rsidRDefault="00AF5C2E" w:rsidP="00AF5C2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 L’action extérieure de l’UE</w:t>
      </w:r>
    </w:p>
    <w:p w:rsidR="00AF5C2E" w:rsidRPr="006971D8" w:rsidRDefault="00AF5C2E" w:rsidP="00AF5C2E">
      <w:pPr>
        <w:ind w:firstLine="708"/>
        <w:jc w:val="both"/>
        <w:rPr>
          <w:sz w:val="24"/>
          <w:szCs w:val="24"/>
        </w:rPr>
      </w:pPr>
      <w:r w:rsidRPr="00D20F3E">
        <w:rPr>
          <w:b/>
          <w:sz w:val="24"/>
          <w:szCs w:val="24"/>
          <w:u w:val="single"/>
        </w:rPr>
        <w:t>Section 2</w:t>
      </w:r>
      <w:r w:rsidRPr="00CE6AD8">
        <w:rPr>
          <w:sz w:val="24"/>
          <w:szCs w:val="24"/>
        </w:rPr>
        <w:t> : La participat</w:t>
      </w:r>
      <w:r>
        <w:rPr>
          <w:sz w:val="24"/>
          <w:szCs w:val="24"/>
        </w:rPr>
        <w:t>ion des Etats</w:t>
      </w:r>
      <w:r w:rsidRPr="00CE6AD8">
        <w:rPr>
          <w:sz w:val="24"/>
          <w:szCs w:val="24"/>
        </w:rPr>
        <w:t xml:space="preserve"> à l’UE</w:t>
      </w:r>
      <w:r w:rsidRPr="00CE6AD8">
        <w:rPr>
          <w:webHidden/>
          <w:sz w:val="24"/>
          <w:szCs w:val="24"/>
        </w:rPr>
        <w:tab/>
      </w:r>
    </w:p>
    <w:p w:rsidR="00AF5C2E" w:rsidRPr="00990CC2" w:rsidRDefault="00AF5C2E" w:rsidP="00AF5C2E">
      <w:pPr>
        <w:jc w:val="both"/>
        <w:rPr>
          <w:szCs w:val="20"/>
        </w:rPr>
      </w:pPr>
      <w:r w:rsidRPr="00990CC2">
        <w:rPr>
          <w:szCs w:val="20"/>
        </w:rPr>
        <w:t>A/ L’adhésion</w:t>
      </w:r>
    </w:p>
    <w:p w:rsidR="00AF5C2E" w:rsidRPr="00990CC2" w:rsidRDefault="00AF5C2E" w:rsidP="00AF5C2E">
      <w:pPr>
        <w:jc w:val="both"/>
        <w:rPr>
          <w:szCs w:val="20"/>
        </w:rPr>
      </w:pPr>
      <w:r w:rsidRPr="00990CC2">
        <w:rPr>
          <w:szCs w:val="20"/>
        </w:rPr>
        <w:t>B/ Les modalités de l’appartenance à l’UE</w:t>
      </w:r>
    </w:p>
    <w:p w:rsidR="00AF5C2E" w:rsidRPr="006971D8" w:rsidRDefault="00AF5C2E" w:rsidP="00AF5C2E">
      <w:pPr>
        <w:ind w:firstLine="708"/>
        <w:jc w:val="both"/>
        <w:rPr>
          <w:sz w:val="20"/>
          <w:szCs w:val="20"/>
        </w:rPr>
      </w:pPr>
      <w:r w:rsidRPr="00CE6AD8">
        <w:rPr>
          <w:sz w:val="20"/>
          <w:szCs w:val="20"/>
        </w:rPr>
        <w:t>1. La soumission à la règle commune</w:t>
      </w:r>
    </w:p>
    <w:p w:rsidR="00AF5C2E" w:rsidRPr="006971D8" w:rsidRDefault="00AF5C2E" w:rsidP="00AF5C2E">
      <w:pPr>
        <w:ind w:firstLine="708"/>
        <w:jc w:val="both"/>
        <w:rPr>
          <w:sz w:val="20"/>
          <w:szCs w:val="20"/>
        </w:rPr>
      </w:pPr>
      <w:r w:rsidRPr="00CE6AD8">
        <w:rPr>
          <w:sz w:val="20"/>
          <w:szCs w:val="20"/>
        </w:rPr>
        <w:t>2. La flexibilité croissante dans la construction européenne</w:t>
      </w:r>
    </w:p>
    <w:p w:rsidR="00AF5C2E" w:rsidRPr="00F56A19" w:rsidRDefault="00AF5C2E" w:rsidP="00AF5C2E">
      <w:pPr>
        <w:ind w:firstLine="708"/>
        <w:jc w:val="both"/>
        <w:rPr>
          <w:sz w:val="20"/>
          <w:szCs w:val="20"/>
        </w:rPr>
      </w:pPr>
      <w:r w:rsidRPr="00CE6AD8">
        <w:rPr>
          <w:sz w:val="20"/>
          <w:szCs w:val="20"/>
        </w:rPr>
        <w:t>3. Le retrait de l’UE</w:t>
      </w:r>
    </w:p>
    <w:p w:rsidR="00AF5C2E" w:rsidRDefault="00AF5C2E" w:rsidP="00AF5C2E">
      <w:pPr>
        <w:tabs>
          <w:tab w:val="left" w:pos="2100"/>
          <w:tab w:val="center" w:pos="4536"/>
        </w:tabs>
        <w:ind w:firstLine="1440"/>
        <w:jc w:val="center"/>
        <w:rPr>
          <w:b/>
          <w:bCs/>
          <w:sz w:val="24"/>
          <w:szCs w:val="24"/>
        </w:rPr>
      </w:pPr>
      <w:r w:rsidRPr="00534FA5">
        <w:rPr>
          <w:b/>
          <w:bCs/>
          <w:sz w:val="24"/>
          <w:szCs w:val="24"/>
        </w:rPr>
        <w:t>Chap</w:t>
      </w:r>
      <w:r>
        <w:rPr>
          <w:b/>
          <w:bCs/>
          <w:sz w:val="24"/>
          <w:szCs w:val="24"/>
        </w:rPr>
        <w:t xml:space="preserve">itre II : </w:t>
      </w:r>
      <w:smartTag w:uri="urn:schemas-microsoft-com:office:smarttags" w:element="PersonName">
        <w:smartTagPr>
          <w:attr w:name="ProductID" w:val="LA NATURE DE"/>
        </w:smartTagPr>
        <w:smartTag w:uri="urn:schemas-microsoft-com:office:smarttags" w:element="PersonName">
          <w:smartTagPr>
            <w:attr w:name="ProductID" w:val="LA NATURE"/>
          </w:smartTagPr>
          <w:r>
            <w:rPr>
              <w:b/>
              <w:bCs/>
              <w:sz w:val="24"/>
              <w:szCs w:val="24"/>
            </w:rPr>
            <w:t>LA NATURE</w:t>
          </w:r>
        </w:smartTag>
        <w:r>
          <w:rPr>
            <w:b/>
            <w:bCs/>
            <w:sz w:val="24"/>
            <w:szCs w:val="24"/>
          </w:rPr>
          <w:t xml:space="preserve"> DE</w:t>
        </w:r>
      </w:smartTag>
      <w:r>
        <w:rPr>
          <w:b/>
          <w:bCs/>
          <w:sz w:val="24"/>
          <w:szCs w:val="24"/>
        </w:rPr>
        <w:t xml:space="preserve"> L’UNION EUROPEENNE</w:t>
      </w:r>
    </w:p>
    <w:p w:rsidR="00AF5C2E" w:rsidRPr="006971D8" w:rsidRDefault="00AF5C2E" w:rsidP="00AF5C2E">
      <w:pPr>
        <w:jc w:val="both"/>
        <w:rPr>
          <w:sz w:val="24"/>
          <w:szCs w:val="24"/>
        </w:rPr>
      </w:pPr>
      <w:r w:rsidRPr="006971D8">
        <w:rPr>
          <w:sz w:val="24"/>
          <w:szCs w:val="24"/>
        </w:rPr>
        <w:tab/>
      </w:r>
      <w:r w:rsidRPr="00D20F3E">
        <w:rPr>
          <w:b/>
          <w:sz w:val="24"/>
          <w:szCs w:val="24"/>
          <w:u w:val="single"/>
        </w:rPr>
        <w:t>Section1</w:t>
      </w:r>
      <w:r w:rsidRPr="00D20F3E">
        <w:rPr>
          <w:b/>
          <w:sz w:val="24"/>
          <w:szCs w:val="24"/>
        </w:rPr>
        <w:t>:</w:t>
      </w:r>
      <w:r w:rsidRPr="006971D8">
        <w:rPr>
          <w:sz w:val="24"/>
          <w:szCs w:val="24"/>
        </w:rPr>
        <w:t xml:space="preserve"> L'origine internationale</w:t>
      </w:r>
    </w:p>
    <w:p w:rsidR="00AF5C2E" w:rsidRPr="006971D8" w:rsidRDefault="00AF5C2E" w:rsidP="00AF5C2E">
      <w:pPr>
        <w:ind w:firstLine="708"/>
        <w:jc w:val="both"/>
        <w:rPr>
          <w:sz w:val="20"/>
          <w:szCs w:val="20"/>
        </w:rPr>
      </w:pPr>
      <w:r w:rsidRPr="00CE6AD8">
        <w:rPr>
          <w:sz w:val="20"/>
          <w:szCs w:val="20"/>
        </w:rPr>
        <w:t>1. La création par traité international</w:t>
      </w:r>
    </w:p>
    <w:p w:rsidR="00AF5C2E" w:rsidRPr="006971D8" w:rsidRDefault="00AF5C2E" w:rsidP="00AF5C2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 L</w:t>
      </w:r>
      <w:r w:rsidRPr="00CE6AD8">
        <w:rPr>
          <w:sz w:val="20"/>
          <w:szCs w:val="20"/>
        </w:rPr>
        <w:t>a personnalité juridique internationale</w:t>
      </w:r>
    </w:p>
    <w:p w:rsidR="00AF5C2E" w:rsidRPr="006971D8" w:rsidRDefault="00AF5C2E" w:rsidP="00AF5C2E">
      <w:pPr>
        <w:jc w:val="both"/>
        <w:rPr>
          <w:bCs/>
          <w:sz w:val="24"/>
          <w:szCs w:val="24"/>
        </w:rPr>
      </w:pPr>
      <w:r>
        <w:rPr>
          <w:bCs/>
          <w:webHidden/>
          <w:sz w:val="24"/>
          <w:szCs w:val="24"/>
        </w:rPr>
        <w:tab/>
      </w:r>
      <w:r w:rsidRPr="00D20F3E">
        <w:rPr>
          <w:b/>
          <w:noProof/>
          <w:sz w:val="24"/>
          <w:szCs w:val="24"/>
          <w:u w:val="single"/>
        </w:rPr>
        <w:t>Section 2</w:t>
      </w:r>
      <w:r w:rsidRPr="00CE6AD8">
        <w:rPr>
          <w:noProof/>
          <w:sz w:val="24"/>
          <w:szCs w:val="24"/>
        </w:rPr>
        <w:t> : La dimension constitutionnelle</w:t>
      </w:r>
    </w:p>
    <w:p w:rsidR="00AF5C2E" w:rsidRPr="0094619D" w:rsidRDefault="00AF5C2E" w:rsidP="00AF5C2E">
      <w:pPr>
        <w:pStyle w:val="TM3"/>
      </w:pPr>
      <w:r>
        <w:tab/>
      </w:r>
      <w:r w:rsidRPr="00D20F3E">
        <w:rPr>
          <w:u w:val="single"/>
        </w:rPr>
        <w:t>§ 1</w:t>
      </w:r>
      <w:r>
        <w:t> :</w:t>
      </w:r>
      <w:r w:rsidRPr="00990CC2">
        <w:rPr>
          <w:rFonts w:eastAsia="Times New Roman"/>
        </w:rPr>
        <w:t xml:space="preserve"> </w:t>
      </w:r>
      <w:r w:rsidRPr="00990CC2">
        <w:t>Signification politique de la constitutionnalisation de l’Union européenne</w:t>
      </w:r>
    </w:p>
    <w:p w:rsidR="00AF5C2E" w:rsidRPr="00C6749C" w:rsidRDefault="00AF5C2E" w:rsidP="00AF5C2E">
      <w:pPr>
        <w:pStyle w:val="TM5"/>
        <w:jc w:val="both"/>
        <w:rPr>
          <w:rFonts w:eastAsia="Times New Roman"/>
          <w:color w:val="000000"/>
          <w:sz w:val="22"/>
          <w:szCs w:val="22"/>
        </w:rPr>
      </w:pPr>
      <w:r w:rsidRPr="00C6749C">
        <w:rPr>
          <w:sz w:val="22"/>
          <w:szCs w:val="22"/>
        </w:rPr>
        <w:t xml:space="preserve">A/ Réflexions sur </w:t>
      </w:r>
      <w:r>
        <w:rPr>
          <w:sz w:val="22"/>
          <w:szCs w:val="22"/>
        </w:rPr>
        <w:t>une approche des traités en termes constitutionnels</w:t>
      </w:r>
    </w:p>
    <w:p w:rsidR="00AF5C2E" w:rsidRPr="00C6749C" w:rsidRDefault="00AF5C2E" w:rsidP="00AF5C2E">
      <w:pPr>
        <w:jc w:val="both"/>
      </w:pPr>
      <w:r w:rsidRPr="00C6749C">
        <w:t>B/ Les éléments politiques révélateurs d’une identité constitutionnelle</w:t>
      </w:r>
    </w:p>
    <w:p w:rsidR="00AF5C2E" w:rsidRPr="00D4634B" w:rsidRDefault="00AF5C2E" w:rsidP="00AF5C2E">
      <w:pPr>
        <w:pStyle w:val="TM3"/>
        <w:rPr>
          <w:rFonts w:eastAsia="Times New Roman"/>
          <w:sz w:val="32"/>
        </w:rPr>
      </w:pPr>
      <w:r>
        <w:lastRenderedPageBreak/>
        <w:tab/>
      </w:r>
      <w:r w:rsidRPr="00D20F3E">
        <w:rPr>
          <w:u w:val="single"/>
        </w:rPr>
        <w:t>§ 2</w:t>
      </w:r>
      <w:r>
        <w:t> :</w:t>
      </w:r>
      <w:r w:rsidRPr="00D4634B">
        <w:t xml:space="preserve"> Les droits fondamentaux</w:t>
      </w:r>
    </w:p>
    <w:p w:rsidR="00AF5C2E" w:rsidRPr="00D4634B" w:rsidRDefault="00AF5C2E" w:rsidP="00AF5C2E">
      <w:pPr>
        <w:pStyle w:val="TM4"/>
        <w:rPr>
          <w:rFonts w:eastAsia="Times New Roman"/>
        </w:rPr>
      </w:pPr>
      <w:r w:rsidRPr="00D4634B">
        <w:t>A/ Les fondements de la protection</w:t>
      </w:r>
    </w:p>
    <w:p w:rsidR="00AF5C2E" w:rsidRPr="00D4634B" w:rsidRDefault="00AF5C2E" w:rsidP="00AF5C2E">
      <w:pPr>
        <w:pStyle w:val="TM5"/>
        <w:tabs>
          <w:tab w:val="left" w:pos="709"/>
        </w:tabs>
        <w:jc w:val="both"/>
        <w:rPr>
          <w:rFonts w:eastAsia="Times New Roman"/>
        </w:rPr>
      </w:pPr>
      <w:r>
        <w:tab/>
      </w:r>
      <w:r w:rsidRPr="00D4634B">
        <w:t>1.</w:t>
      </w:r>
      <w:r w:rsidRPr="00D4634B">
        <w:rPr>
          <w:rFonts w:eastAsia="Times New Roman"/>
        </w:rPr>
        <w:t xml:space="preserve"> </w:t>
      </w:r>
      <w:r w:rsidRPr="00D4634B">
        <w:t>L’apport jurisprudentiel</w:t>
      </w:r>
    </w:p>
    <w:p w:rsidR="00AF5C2E" w:rsidRPr="00CE6AD8" w:rsidRDefault="00AF5C2E" w:rsidP="00AF5C2E">
      <w:pPr>
        <w:pStyle w:val="TM6"/>
        <w:rPr>
          <w:rFonts w:eastAsia="Times New Roman"/>
          <w:noProof/>
        </w:rPr>
      </w:pPr>
      <w:r w:rsidRPr="006971D8">
        <w:tab/>
      </w:r>
      <w:r w:rsidRPr="00CE6AD8">
        <w:rPr>
          <w:noProof/>
        </w:rPr>
        <w:t>a)</w:t>
      </w:r>
      <w:r w:rsidRPr="00CE6AD8">
        <w:rPr>
          <w:rFonts w:eastAsia="Times New Roman"/>
          <w:noProof/>
        </w:rPr>
        <w:t xml:space="preserve"> </w:t>
      </w:r>
      <w:r w:rsidRPr="00CE6AD8">
        <w:rPr>
          <w:noProof/>
        </w:rPr>
        <w:t xml:space="preserve">Une consécration initiale par </w:t>
      </w:r>
      <w:smartTag w:uri="urn:schemas-microsoft-com:office:smarttags" w:element="PersonName">
        <w:smartTagPr>
          <w:attr w:name="ProductID" w:val="la CJCE"/>
        </w:smartTagPr>
        <w:r w:rsidRPr="00CE6AD8">
          <w:rPr>
            <w:noProof/>
          </w:rPr>
          <w:t>la CJCE</w:t>
        </w:r>
      </w:smartTag>
    </w:p>
    <w:p w:rsidR="00AF5C2E" w:rsidRPr="00CE6AD8" w:rsidRDefault="00AF5C2E" w:rsidP="00AF5C2E">
      <w:pPr>
        <w:pStyle w:val="TM6"/>
        <w:rPr>
          <w:rFonts w:eastAsia="Times New Roman"/>
          <w:noProof/>
        </w:rPr>
      </w:pPr>
      <w:r w:rsidRPr="006971D8">
        <w:tab/>
      </w:r>
      <w:r w:rsidRPr="00CE6AD8">
        <w:rPr>
          <w:noProof/>
        </w:rPr>
        <w:t>b)</w:t>
      </w:r>
      <w:r w:rsidRPr="00CE6AD8">
        <w:rPr>
          <w:rFonts w:eastAsia="Times New Roman"/>
          <w:noProof/>
        </w:rPr>
        <w:t xml:space="preserve"> </w:t>
      </w:r>
      <w:r w:rsidRPr="00CE6AD8">
        <w:rPr>
          <w:noProof/>
        </w:rPr>
        <w:t xml:space="preserve">Les sources des droits fondamentaux consacrés par </w:t>
      </w:r>
      <w:smartTag w:uri="urn:schemas-microsoft-com:office:smarttags" w:element="PersonName">
        <w:smartTagPr>
          <w:attr w:name="ProductID" w:val="la Cour"/>
        </w:smartTagPr>
        <w:r w:rsidRPr="00CE6AD8">
          <w:rPr>
            <w:noProof/>
          </w:rPr>
          <w:t>l</w:t>
        </w:r>
        <w:r>
          <w:rPr>
            <w:noProof/>
          </w:rPr>
          <w:t>a Cour</w:t>
        </w:r>
      </w:smartTag>
      <w:r>
        <w:rPr>
          <w:noProof/>
        </w:rPr>
        <w:t xml:space="preserve"> de justice</w:t>
      </w:r>
    </w:p>
    <w:p w:rsidR="00AF5C2E" w:rsidRPr="00CE6AD8" w:rsidRDefault="00AF5C2E" w:rsidP="00AF5C2E">
      <w:pPr>
        <w:pStyle w:val="TM7"/>
      </w:pPr>
      <w:r w:rsidRPr="00CE6AD8">
        <w:t>i) Les DF issues des traditions constitutionnelles communes aux Etats M</w:t>
      </w:r>
      <w:r w:rsidRPr="006971D8">
        <w:rPr>
          <w:rStyle w:val="Lienhypertexte"/>
          <w:color w:val="auto"/>
          <w:sz w:val="20"/>
          <w:u w:val="none"/>
        </w:rPr>
        <w:t>embres</w:t>
      </w:r>
    </w:p>
    <w:p w:rsidR="00AF5C2E" w:rsidRPr="00CE6AD8" w:rsidRDefault="00AF5C2E" w:rsidP="00AF5C2E">
      <w:pPr>
        <w:pStyle w:val="TM7"/>
      </w:pPr>
      <w:r w:rsidRPr="00CE6AD8">
        <w:t>ii) Le recours aux instruments internationaux de protection des DH</w:t>
      </w:r>
    </w:p>
    <w:p w:rsidR="00AF5C2E" w:rsidRPr="00CE6AD8" w:rsidRDefault="00AF5C2E" w:rsidP="00AF5C2E">
      <w:pPr>
        <w:pStyle w:val="TM5"/>
        <w:tabs>
          <w:tab w:val="left" w:pos="709"/>
        </w:tabs>
        <w:jc w:val="both"/>
        <w:rPr>
          <w:rFonts w:eastAsia="Times New Roman"/>
        </w:rPr>
      </w:pPr>
      <w:r>
        <w:tab/>
      </w:r>
      <w:r w:rsidRPr="00CE6AD8">
        <w:t>2.</w:t>
      </w:r>
      <w:r w:rsidRPr="00CE6AD8">
        <w:rPr>
          <w:rFonts w:eastAsia="Times New Roman"/>
        </w:rPr>
        <w:t xml:space="preserve"> </w:t>
      </w:r>
      <w:r w:rsidRPr="00CE6AD8">
        <w:t>L’insertion plus récente dans les textes européens</w:t>
      </w:r>
    </w:p>
    <w:p w:rsidR="00AF5C2E" w:rsidRPr="00CE6AD8" w:rsidRDefault="00AF5C2E" w:rsidP="00AF5C2E">
      <w:pPr>
        <w:pStyle w:val="TM6"/>
        <w:rPr>
          <w:rFonts w:eastAsia="Times New Roman"/>
          <w:noProof/>
        </w:rPr>
      </w:pPr>
      <w:r w:rsidRPr="006971D8">
        <w:tab/>
      </w:r>
      <w:r w:rsidRPr="00CE6AD8">
        <w:rPr>
          <w:noProof/>
        </w:rPr>
        <w:t>a)</w:t>
      </w:r>
      <w:r w:rsidRPr="00CE6AD8">
        <w:rPr>
          <w:rFonts w:eastAsia="Times New Roman"/>
          <w:noProof/>
        </w:rPr>
        <w:t xml:space="preserve"> </w:t>
      </w:r>
      <w:r w:rsidRPr="00CE6AD8">
        <w:rPr>
          <w:noProof/>
        </w:rPr>
        <w:t>Une inscription dans les traités européens</w:t>
      </w:r>
    </w:p>
    <w:p w:rsidR="00AF5C2E" w:rsidRPr="00CE6AD8" w:rsidRDefault="00AF5C2E" w:rsidP="00AF5C2E">
      <w:pPr>
        <w:pStyle w:val="TM6"/>
        <w:rPr>
          <w:rFonts w:eastAsia="Times New Roman"/>
          <w:noProof/>
        </w:rPr>
      </w:pPr>
      <w:r w:rsidRPr="006971D8">
        <w:tab/>
      </w:r>
      <w:r w:rsidRPr="00CE6AD8">
        <w:rPr>
          <w:noProof/>
        </w:rPr>
        <w:t>b)</w:t>
      </w:r>
      <w:r w:rsidRPr="00CE6AD8">
        <w:rPr>
          <w:rFonts w:eastAsia="Times New Roman"/>
          <w:noProof/>
        </w:rPr>
        <w:t xml:space="preserve"> </w:t>
      </w:r>
      <w:r w:rsidRPr="00CE6AD8">
        <w:rPr>
          <w:noProof/>
        </w:rPr>
        <w:t>La charte des droits fondamentaux de l’UE</w:t>
      </w:r>
    </w:p>
    <w:p w:rsidR="00AF5C2E" w:rsidRPr="00CE6AD8" w:rsidRDefault="00AF5C2E" w:rsidP="00AF5C2E">
      <w:pPr>
        <w:pStyle w:val="TM7"/>
      </w:pPr>
      <w:r w:rsidRPr="00CE6AD8">
        <w:t>i) L’origine</w:t>
      </w:r>
    </w:p>
    <w:p w:rsidR="00AF5C2E" w:rsidRDefault="00AF5C2E" w:rsidP="00AF5C2E">
      <w:pPr>
        <w:pStyle w:val="TM7"/>
      </w:pPr>
      <w:r w:rsidRPr="00CE6AD8">
        <w:t>ii) La valeur</w:t>
      </w:r>
    </w:p>
    <w:p w:rsidR="005202AC" w:rsidRPr="005202AC" w:rsidRDefault="005202AC" w:rsidP="005202AC">
      <w:pPr>
        <w:rPr>
          <w:sz w:val="18"/>
        </w:rPr>
      </w:pPr>
      <w:r w:rsidRPr="005202AC">
        <w:rPr>
          <w:sz w:val="18"/>
        </w:rPr>
        <w:t>ii) L’application de la charte par la CJUE</w:t>
      </w:r>
    </w:p>
    <w:p w:rsidR="00AF5C2E" w:rsidRPr="00AF5C2E" w:rsidRDefault="00AF5C2E" w:rsidP="00AF5C2E"/>
    <w:p w:rsidR="00AF5C2E" w:rsidRPr="00CE6AD8" w:rsidRDefault="00AF5C2E" w:rsidP="00AF5C2E">
      <w:pPr>
        <w:pStyle w:val="TM5"/>
        <w:tabs>
          <w:tab w:val="left" w:pos="709"/>
        </w:tabs>
        <w:jc w:val="both"/>
        <w:rPr>
          <w:rFonts w:eastAsia="Times New Roman"/>
        </w:rPr>
      </w:pPr>
      <w:r>
        <w:tab/>
      </w:r>
      <w:r w:rsidRPr="00CE6AD8">
        <w:t>3.</w:t>
      </w:r>
      <w:r w:rsidRPr="00CE6AD8">
        <w:rPr>
          <w:rFonts w:eastAsia="Times New Roman"/>
        </w:rPr>
        <w:t xml:space="preserve"> </w:t>
      </w:r>
      <w:r w:rsidRPr="00CE6AD8">
        <w:t xml:space="preserve">Les relations avec </w:t>
      </w:r>
      <w:smartTag w:uri="urn:schemas-microsoft-com:office:smarttags" w:element="PersonName">
        <w:smartTagPr>
          <w:attr w:name="ProductID" w:val="la Conv EDH"/>
        </w:smartTagPr>
        <w:r w:rsidRPr="00CE6AD8">
          <w:t>la Conv EDH</w:t>
        </w:r>
      </w:smartTag>
    </w:p>
    <w:p w:rsidR="00AF5C2E" w:rsidRPr="00CE6AD8" w:rsidRDefault="00AF5C2E" w:rsidP="00AF5C2E">
      <w:pPr>
        <w:pStyle w:val="TM6"/>
        <w:rPr>
          <w:rFonts w:eastAsia="Times New Roman"/>
          <w:noProof/>
        </w:rPr>
      </w:pPr>
      <w:r w:rsidRPr="006971D8">
        <w:tab/>
      </w:r>
      <w:r>
        <w:rPr>
          <w:noProof/>
        </w:rPr>
        <w:t>a</w:t>
      </w:r>
      <w:r w:rsidRPr="00CE6AD8">
        <w:rPr>
          <w:noProof/>
        </w:rPr>
        <w:t>)</w:t>
      </w:r>
      <w:r w:rsidRPr="00CE6AD8">
        <w:rPr>
          <w:rFonts w:eastAsia="Times New Roman"/>
          <w:noProof/>
        </w:rPr>
        <w:t xml:space="preserve"> </w:t>
      </w:r>
      <w:r w:rsidRPr="00CE6AD8">
        <w:rPr>
          <w:noProof/>
        </w:rPr>
        <w:t xml:space="preserve">Le contrôle par </w:t>
      </w:r>
      <w:smartTag w:uri="urn:schemas-microsoft-com:office:smarttags" w:element="PersonName">
        <w:smartTagPr>
          <w:attr w:name="ProductID" w:val="la Cour EDH"/>
        </w:smartTagPr>
        <w:r w:rsidRPr="00CE6AD8">
          <w:rPr>
            <w:noProof/>
          </w:rPr>
          <w:t>la Cour EDH</w:t>
        </w:r>
      </w:smartTag>
    </w:p>
    <w:p w:rsidR="00AF5C2E" w:rsidRPr="00CE6AD8" w:rsidRDefault="00AF5C2E" w:rsidP="00AF5C2E">
      <w:pPr>
        <w:pStyle w:val="TM6"/>
        <w:rPr>
          <w:rFonts w:eastAsia="Times New Roman"/>
          <w:noProof/>
        </w:rPr>
      </w:pPr>
      <w:r>
        <w:tab/>
      </w:r>
      <w:r>
        <w:rPr>
          <w:noProof/>
        </w:rPr>
        <w:t>b</w:t>
      </w:r>
      <w:r w:rsidRPr="00CE6AD8">
        <w:rPr>
          <w:noProof/>
        </w:rPr>
        <w:t>)</w:t>
      </w:r>
      <w:r w:rsidRPr="00CE6AD8">
        <w:rPr>
          <w:rFonts w:eastAsia="Times New Roman"/>
          <w:noProof/>
        </w:rPr>
        <w:t xml:space="preserve"> </w:t>
      </w:r>
      <w:r w:rsidRPr="00CE6AD8">
        <w:rPr>
          <w:noProof/>
        </w:rPr>
        <w:t>L’adhésion</w:t>
      </w:r>
      <w:r w:rsidRPr="006971D8">
        <w:rPr>
          <w:rStyle w:val="Lienhypertexte"/>
          <w:noProof/>
          <w:color w:val="auto"/>
          <w:szCs w:val="20"/>
          <w:u w:val="none"/>
        </w:rPr>
        <w:t xml:space="preserve"> </w:t>
      </w:r>
      <w:r w:rsidR="005C010F">
        <w:rPr>
          <w:rStyle w:val="Lienhypertexte"/>
          <w:noProof/>
          <w:color w:val="auto"/>
          <w:szCs w:val="20"/>
          <w:u w:val="none"/>
        </w:rPr>
        <w:t xml:space="preserve">repoussée </w:t>
      </w:r>
      <w:bookmarkStart w:id="0" w:name="_GoBack"/>
      <w:bookmarkEnd w:id="0"/>
      <w:r w:rsidRPr="006971D8">
        <w:rPr>
          <w:rStyle w:val="Lienhypertexte"/>
          <w:noProof/>
          <w:color w:val="auto"/>
          <w:szCs w:val="20"/>
          <w:u w:val="none"/>
        </w:rPr>
        <w:t>à la Convention EDH</w:t>
      </w:r>
    </w:p>
    <w:p w:rsidR="00AF5C2E" w:rsidRPr="00D4634B" w:rsidRDefault="00AF5C2E" w:rsidP="00AF5C2E">
      <w:pPr>
        <w:pStyle w:val="TM5"/>
        <w:tabs>
          <w:tab w:val="left" w:pos="709"/>
        </w:tabs>
        <w:jc w:val="both"/>
        <w:rPr>
          <w:rStyle w:val="Lienhypertexte"/>
          <w:color w:val="auto"/>
          <w:sz w:val="22"/>
          <w:u w:val="none"/>
        </w:rPr>
      </w:pPr>
      <w:r w:rsidRPr="00D4634B">
        <w:rPr>
          <w:rStyle w:val="Lienhypertexte"/>
          <w:color w:val="auto"/>
          <w:sz w:val="22"/>
          <w:u w:val="none"/>
        </w:rPr>
        <w:t xml:space="preserve">B/ L’étendue de la garantie des droits fondamentaux </w:t>
      </w:r>
    </w:p>
    <w:p w:rsidR="00AF5C2E" w:rsidRPr="006971D8" w:rsidRDefault="00AF5C2E" w:rsidP="00AF5C2E">
      <w:pPr>
        <w:pStyle w:val="TM5"/>
        <w:tabs>
          <w:tab w:val="left" w:pos="709"/>
        </w:tabs>
        <w:jc w:val="both"/>
        <w:rPr>
          <w:rFonts w:eastAsia="Times New Roman"/>
        </w:rPr>
      </w:pPr>
      <w:r>
        <w:tab/>
      </w:r>
      <w:r w:rsidRPr="00CE6AD8">
        <w:t>1. L’opposabilité des droits fondamentaux</w:t>
      </w:r>
    </w:p>
    <w:p w:rsidR="00AF5C2E" w:rsidRPr="006971D8" w:rsidRDefault="00AF5C2E" w:rsidP="00AF5C2E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6971D8">
        <w:rPr>
          <w:sz w:val="20"/>
          <w:szCs w:val="20"/>
        </w:rPr>
        <w:t>a) Les entités soumises au respect des droits fondamentaux</w:t>
      </w:r>
    </w:p>
    <w:p w:rsidR="00AF5C2E" w:rsidRPr="006971D8" w:rsidRDefault="00AF5C2E" w:rsidP="00AF5C2E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6971D8">
        <w:rPr>
          <w:sz w:val="20"/>
          <w:szCs w:val="20"/>
        </w:rPr>
        <w:t>b) Le lien entre opposabilité et compétence</w:t>
      </w:r>
    </w:p>
    <w:p w:rsidR="00AF5C2E" w:rsidRPr="006971D8" w:rsidRDefault="00AF5C2E" w:rsidP="00AF5C2E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E6AD8">
        <w:rPr>
          <w:sz w:val="20"/>
          <w:szCs w:val="20"/>
        </w:rPr>
        <w:t>2. Le contenu des droits fondamentaux</w:t>
      </w:r>
    </w:p>
    <w:p w:rsidR="00AF5C2E" w:rsidRPr="006971D8" w:rsidRDefault="00AF5C2E" w:rsidP="00AF5C2E">
      <w:pPr>
        <w:tabs>
          <w:tab w:val="left" w:pos="709"/>
        </w:tabs>
        <w:jc w:val="both"/>
      </w:pPr>
      <w:r>
        <w:rPr>
          <w:sz w:val="20"/>
          <w:szCs w:val="20"/>
        </w:rPr>
        <w:tab/>
      </w:r>
      <w:r w:rsidRPr="00CE6AD8">
        <w:rPr>
          <w:sz w:val="20"/>
          <w:szCs w:val="20"/>
        </w:rPr>
        <w:t>3. La portée de la garantie</w:t>
      </w:r>
    </w:p>
    <w:p w:rsidR="00AF5C2E" w:rsidRPr="006971D8" w:rsidRDefault="00AF5C2E" w:rsidP="00AF5C2E">
      <w:pPr>
        <w:tabs>
          <w:tab w:val="left" w:pos="709"/>
        </w:tabs>
        <w:jc w:val="both"/>
        <w:rPr>
          <w:rStyle w:val="Lienhypertexte"/>
          <w:color w:val="auto"/>
          <w:sz w:val="20"/>
          <w:szCs w:val="20"/>
          <w:u w:val="none"/>
        </w:rPr>
      </w:pPr>
      <w:r>
        <w:rPr>
          <w:rStyle w:val="Lienhypertexte"/>
          <w:color w:val="auto"/>
          <w:sz w:val="20"/>
          <w:szCs w:val="20"/>
          <w:u w:val="none"/>
        </w:rPr>
        <w:tab/>
      </w:r>
      <w:r w:rsidRPr="006971D8">
        <w:rPr>
          <w:rStyle w:val="Lienhypertexte"/>
          <w:color w:val="auto"/>
          <w:sz w:val="20"/>
          <w:szCs w:val="20"/>
          <w:u w:val="none"/>
        </w:rPr>
        <w:t>a) Les limitations jurisprudentielles et textuelles</w:t>
      </w:r>
    </w:p>
    <w:p w:rsidR="00AF5C2E" w:rsidRDefault="00AF5C2E" w:rsidP="00AF5C2E">
      <w:pPr>
        <w:tabs>
          <w:tab w:val="left" w:pos="709"/>
        </w:tabs>
        <w:jc w:val="both"/>
        <w:rPr>
          <w:rStyle w:val="Lienhypertexte"/>
          <w:color w:val="auto"/>
          <w:sz w:val="20"/>
          <w:szCs w:val="20"/>
          <w:u w:val="none"/>
        </w:rPr>
      </w:pPr>
      <w:r>
        <w:rPr>
          <w:rStyle w:val="Lienhypertexte"/>
          <w:color w:val="auto"/>
          <w:sz w:val="20"/>
          <w:szCs w:val="20"/>
          <w:u w:val="none"/>
        </w:rPr>
        <w:tab/>
      </w:r>
      <w:r w:rsidRPr="006971D8">
        <w:rPr>
          <w:rStyle w:val="Lienhypertexte"/>
          <w:color w:val="auto"/>
          <w:sz w:val="20"/>
          <w:szCs w:val="20"/>
          <w:u w:val="none"/>
        </w:rPr>
        <w:t>b) La conciliation entre droits fondamentaux et libertés fondamentales</w:t>
      </w:r>
    </w:p>
    <w:p w:rsidR="00AF5C2E" w:rsidRPr="006971D8" w:rsidRDefault="00AF5C2E" w:rsidP="00AF5C2E">
      <w:pPr>
        <w:tabs>
          <w:tab w:val="left" w:pos="709"/>
        </w:tabs>
        <w:jc w:val="both"/>
        <w:rPr>
          <w:rStyle w:val="Lienhypertexte"/>
          <w:color w:val="auto"/>
          <w:sz w:val="20"/>
          <w:szCs w:val="20"/>
          <w:u w:val="none"/>
        </w:rPr>
      </w:pPr>
      <w:r>
        <w:rPr>
          <w:rStyle w:val="Lienhypertexte"/>
          <w:color w:val="auto"/>
          <w:sz w:val="20"/>
          <w:szCs w:val="20"/>
          <w:u w:val="none"/>
        </w:rPr>
        <w:tab/>
        <w:t>c)Le niveau de la protection</w:t>
      </w:r>
    </w:p>
    <w:p w:rsidR="00AF5C2E" w:rsidRPr="006971D8" w:rsidRDefault="00AF5C2E" w:rsidP="00AF5C2E">
      <w:pPr>
        <w:tabs>
          <w:tab w:val="left" w:pos="709"/>
        </w:tabs>
        <w:jc w:val="both"/>
        <w:rPr>
          <w:rStyle w:val="Lienhypertexte"/>
          <w:bCs/>
          <w:sz w:val="20"/>
          <w:szCs w:val="20"/>
        </w:rPr>
      </w:pPr>
      <w:r w:rsidRPr="006971D8">
        <w:rPr>
          <w:rStyle w:val="Lienhypertexte"/>
          <w:bCs/>
          <w:sz w:val="20"/>
          <w:szCs w:val="20"/>
        </w:rPr>
        <w:br w:type="page"/>
      </w:r>
    </w:p>
    <w:p w:rsidR="00AF5C2E" w:rsidRPr="00AD1CC2" w:rsidRDefault="00AF5C2E" w:rsidP="00AF5C2E">
      <w:pPr>
        <w:pStyle w:val="TM4"/>
        <w:jc w:val="center"/>
        <w:rPr>
          <w:rStyle w:val="Lienhypertexte"/>
          <w:b/>
          <w:bCs/>
          <w:color w:val="000000"/>
          <w:sz w:val="28"/>
          <w:szCs w:val="28"/>
        </w:rPr>
      </w:pPr>
      <w:r w:rsidRPr="00AD1CC2">
        <w:rPr>
          <w:rStyle w:val="Lienhypertexte"/>
          <w:b/>
          <w:bCs/>
          <w:color w:val="000000"/>
          <w:sz w:val="28"/>
          <w:szCs w:val="28"/>
        </w:rPr>
        <w:lastRenderedPageBreak/>
        <w:t>PARTIE II</w:t>
      </w:r>
    </w:p>
    <w:p w:rsidR="00AF5C2E" w:rsidRPr="00AD1CC2" w:rsidRDefault="00AF5C2E" w:rsidP="00AF5C2E">
      <w:pPr>
        <w:pStyle w:val="TM4"/>
        <w:jc w:val="center"/>
        <w:rPr>
          <w:rStyle w:val="Lienhypertexte"/>
          <w:b/>
          <w:bCs/>
          <w:color w:val="000000"/>
          <w:sz w:val="28"/>
          <w:szCs w:val="28"/>
        </w:rPr>
      </w:pPr>
      <w:r w:rsidRPr="00AD1CC2">
        <w:rPr>
          <w:rStyle w:val="Lienhypertexte"/>
          <w:b/>
          <w:bCs/>
          <w:color w:val="000000"/>
          <w:sz w:val="28"/>
          <w:szCs w:val="28"/>
        </w:rPr>
        <w:t>L</w:t>
      </w:r>
      <w:r>
        <w:rPr>
          <w:rStyle w:val="Lienhypertexte"/>
          <w:b/>
          <w:bCs/>
          <w:color w:val="000000"/>
          <w:sz w:val="28"/>
          <w:szCs w:val="28"/>
        </w:rPr>
        <w:t xml:space="preserve">’ORGANISATION DU POUVOIR DANS </w:t>
      </w:r>
      <w:r w:rsidRPr="00AD1CC2">
        <w:rPr>
          <w:rStyle w:val="Lienhypertexte"/>
          <w:b/>
          <w:bCs/>
          <w:color w:val="000000"/>
          <w:sz w:val="28"/>
          <w:szCs w:val="28"/>
        </w:rPr>
        <w:t>L'UNION EUROPÉENNE</w:t>
      </w:r>
    </w:p>
    <w:p w:rsidR="00AF5C2E" w:rsidRPr="006971D8" w:rsidRDefault="00AF5C2E" w:rsidP="00AF5C2E">
      <w:pPr>
        <w:tabs>
          <w:tab w:val="left" w:pos="709"/>
        </w:tabs>
        <w:jc w:val="both"/>
        <w:rPr>
          <w:sz w:val="20"/>
          <w:szCs w:val="20"/>
        </w:rPr>
      </w:pPr>
    </w:p>
    <w:p w:rsidR="00AF5C2E" w:rsidRPr="00635D42" w:rsidRDefault="00AF5C2E" w:rsidP="00AF5C2E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r w:rsidRPr="00635D42">
        <w:rPr>
          <w:b/>
          <w:bCs/>
          <w:sz w:val="24"/>
          <w:szCs w:val="24"/>
        </w:rPr>
        <w:t xml:space="preserve">Chapitre I: </w:t>
      </w:r>
      <w:r w:rsidRPr="00635D42">
        <w:rPr>
          <w:rStyle w:val="Lienhypertexte"/>
          <w:b/>
          <w:bCs/>
          <w:color w:val="000000"/>
          <w:sz w:val="24"/>
          <w:szCs w:val="24"/>
          <w:u w:val="none"/>
        </w:rPr>
        <w:t>LE FONCTIONNEMENT DE L'UNION EUROPÉENNE</w:t>
      </w:r>
    </w:p>
    <w:p w:rsidR="00AF5C2E" w:rsidRDefault="00AF5C2E" w:rsidP="00AF5C2E">
      <w:pPr>
        <w:tabs>
          <w:tab w:val="left" w:pos="709"/>
        </w:tabs>
        <w:jc w:val="both"/>
        <w:rPr>
          <w:sz w:val="24"/>
          <w:szCs w:val="24"/>
        </w:rPr>
      </w:pPr>
      <w:r w:rsidRPr="00732C13">
        <w:rPr>
          <w:sz w:val="24"/>
          <w:szCs w:val="24"/>
        </w:rPr>
        <w:tab/>
      </w:r>
    </w:p>
    <w:p w:rsidR="00AF5C2E" w:rsidRDefault="00AF5C2E" w:rsidP="00AF5C2E">
      <w:pPr>
        <w:tabs>
          <w:tab w:val="left" w:pos="709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D20F3E">
        <w:rPr>
          <w:b/>
          <w:sz w:val="24"/>
          <w:szCs w:val="24"/>
          <w:u w:val="single"/>
        </w:rPr>
        <w:t>Section 1</w:t>
      </w:r>
      <w:r>
        <w:rPr>
          <w:sz w:val="24"/>
          <w:szCs w:val="24"/>
          <w:u w:val="single"/>
        </w:rPr>
        <w:t> </w:t>
      </w:r>
      <w:r>
        <w:rPr>
          <w:sz w:val="24"/>
          <w:szCs w:val="24"/>
        </w:rPr>
        <w:t xml:space="preserve">: </w:t>
      </w:r>
      <w:r w:rsidRPr="00635D42">
        <w:rPr>
          <w:bCs/>
          <w:sz w:val="24"/>
          <w:szCs w:val="24"/>
        </w:rPr>
        <w:t>Le régime des compétences</w:t>
      </w:r>
    </w:p>
    <w:p w:rsidR="00AF5C2E" w:rsidRPr="006971D8" w:rsidRDefault="00AF5C2E" w:rsidP="00AF5C2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20F3E">
        <w:rPr>
          <w:sz w:val="24"/>
          <w:szCs w:val="24"/>
          <w:u w:val="single"/>
        </w:rPr>
        <w:t>§ 1</w:t>
      </w:r>
      <w:r>
        <w:rPr>
          <w:sz w:val="24"/>
          <w:szCs w:val="24"/>
        </w:rPr>
        <w:t xml:space="preserve"> : </w:t>
      </w:r>
      <w:r w:rsidRPr="00CE6AD8">
        <w:rPr>
          <w:sz w:val="24"/>
          <w:szCs w:val="24"/>
        </w:rPr>
        <w:t xml:space="preserve">L’établissement des compétences de </w:t>
      </w:r>
      <w:r>
        <w:rPr>
          <w:sz w:val="24"/>
          <w:szCs w:val="24"/>
        </w:rPr>
        <w:t>l’UE</w:t>
      </w:r>
    </w:p>
    <w:p w:rsidR="00AF5C2E" w:rsidRDefault="00AF5C2E" w:rsidP="00AF5C2E">
      <w:pPr>
        <w:tabs>
          <w:tab w:val="left" w:pos="709"/>
        </w:tabs>
        <w:jc w:val="both"/>
        <w:rPr>
          <w:webHidden/>
        </w:rPr>
      </w:pPr>
      <w:r w:rsidRPr="00FE0425">
        <w:t xml:space="preserve">A/ L’existence d’un principe d’attribution des compétences </w:t>
      </w:r>
      <w:r>
        <w:rPr>
          <w:webHidden/>
        </w:rPr>
        <w:t>à l’UE</w:t>
      </w:r>
    </w:p>
    <w:p w:rsidR="00AF5C2E" w:rsidRDefault="00AF5C2E" w:rsidP="00AF5C2E">
      <w:pPr>
        <w:tabs>
          <w:tab w:val="left" w:pos="709"/>
        </w:tabs>
        <w:jc w:val="both"/>
        <w:rPr>
          <w:webHidden/>
          <w:sz w:val="20"/>
        </w:rPr>
      </w:pPr>
      <w:r w:rsidRPr="00411759">
        <w:rPr>
          <w:sz w:val="20"/>
        </w:rPr>
        <w:tab/>
        <w:t>1</w:t>
      </w:r>
      <w:r>
        <w:rPr>
          <w:sz w:val="20"/>
        </w:rPr>
        <w:t>. L’a</w:t>
      </w:r>
      <w:r>
        <w:rPr>
          <w:webHidden/>
          <w:sz w:val="20"/>
        </w:rPr>
        <w:t>ffirmation progressive du principe</w:t>
      </w:r>
    </w:p>
    <w:p w:rsidR="00AF5C2E" w:rsidRPr="00411759" w:rsidRDefault="00AF5C2E" w:rsidP="00AF5C2E">
      <w:pPr>
        <w:tabs>
          <w:tab w:val="left" w:pos="709"/>
        </w:tabs>
        <w:jc w:val="both"/>
        <w:rPr>
          <w:sz w:val="20"/>
        </w:rPr>
      </w:pPr>
      <w:r>
        <w:rPr>
          <w:webHidden/>
          <w:sz w:val="20"/>
        </w:rPr>
        <w:tab/>
        <w:t>2. La signification du principe</w:t>
      </w:r>
    </w:p>
    <w:p w:rsidR="00AF5C2E" w:rsidRPr="00FE0425" w:rsidRDefault="00AF5C2E" w:rsidP="00AF5C2E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B/</w:t>
      </w:r>
      <w:r w:rsidRPr="00FE0425">
        <w:rPr>
          <w:sz w:val="24"/>
        </w:rPr>
        <w:t xml:space="preserve"> La nature des compétences détenues par l’UE</w:t>
      </w:r>
    </w:p>
    <w:p w:rsidR="00AF5C2E" w:rsidRPr="00E72656" w:rsidRDefault="00AF5C2E" w:rsidP="00AF5C2E">
      <w:pPr>
        <w:tabs>
          <w:tab w:val="left" w:pos="709"/>
        </w:tabs>
        <w:jc w:val="both"/>
        <w:rPr>
          <w:sz w:val="20"/>
        </w:rPr>
      </w:pPr>
      <w:r>
        <w:tab/>
      </w:r>
      <w:r w:rsidRPr="00E72656">
        <w:rPr>
          <w:sz w:val="20"/>
        </w:rPr>
        <w:t>1. Les compétences expresses</w:t>
      </w:r>
    </w:p>
    <w:p w:rsidR="00AF5C2E" w:rsidRPr="00E72656" w:rsidRDefault="00AF5C2E" w:rsidP="00AF5C2E">
      <w:pPr>
        <w:tabs>
          <w:tab w:val="left" w:pos="709"/>
        </w:tabs>
        <w:jc w:val="both"/>
        <w:rPr>
          <w:sz w:val="20"/>
        </w:rPr>
      </w:pPr>
      <w:r w:rsidRPr="00E72656">
        <w:rPr>
          <w:sz w:val="20"/>
        </w:rPr>
        <w:tab/>
        <w:t xml:space="preserve">2. Les compétences </w:t>
      </w:r>
      <w:r>
        <w:rPr>
          <w:sz w:val="20"/>
        </w:rPr>
        <w:t>implicites</w:t>
      </w:r>
    </w:p>
    <w:p w:rsidR="00AF5C2E" w:rsidRDefault="00AF5C2E" w:rsidP="00AF5C2E">
      <w:pPr>
        <w:tabs>
          <w:tab w:val="left" w:pos="709"/>
        </w:tabs>
        <w:jc w:val="both"/>
      </w:pPr>
      <w:r w:rsidRPr="00E72656">
        <w:rPr>
          <w:sz w:val="20"/>
        </w:rPr>
        <w:tab/>
        <w:t>3. Les compétences supplétives</w:t>
      </w:r>
    </w:p>
    <w:p w:rsidR="00AF5C2E" w:rsidRPr="00917FDD" w:rsidRDefault="00AF5C2E" w:rsidP="00AF5C2E">
      <w:pPr>
        <w:tabs>
          <w:tab w:val="left" w:pos="709"/>
        </w:tabs>
        <w:jc w:val="both"/>
        <w:rPr>
          <w:sz w:val="18"/>
          <w:szCs w:val="20"/>
        </w:rPr>
      </w:pPr>
    </w:p>
    <w:p w:rsidR="00AF5C2E" w:rsidRPr="006971D8" w:rsidRDefault="00AF5C2E" w:rsidP="00AF5C2E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D20F3E">
        <w:rPr>
          <w:noProof/>
          <w:sz w:val="24"/>
          <w:szCs w:val="24"/>
          <w:u w:val="single"/>
        </w:rPr>
        <w:t>§ 2</w:t>
      </w:r>
      <w:r>
        <w:rPr>
          <w:noProof/>
          <w:sz w:val="24"/>
          <w:szCs w:val="24"/>
        </w:rPr>
        <w:t> :</w:t>
      </w:r>
      <w:r w:rsidRPr="00CE6AD8">
        <w:rPr>
          <w:noProof/>
          <w:sz w:val="24"/>
          <w:szCs w:val="24"/>
        </w:rPr>
        <w:t xml:space="preserve"> : La </w:t>
      </w:r>
      <w:r>
        <w:rPr>
          <w:noProof/>
          <w:sz w:val="24"/>
          <w:szCs w:val="24"/>
        </w:rPr>
        <w:t>distribution</w:t>
      </w:r>
      <w:r w:rsidRPr="00CE6AD8">
        <w:rPr>
          <w:noProof/>
          <w:sz w:val="24"/>
          <w:szCs w:val="24"/>
        </w:rPr>
        <w:t xml:space="preserve"> des compétences entre </w:t>
      </w:r>
      <w:r>
        <w:rPr>
          <w:noProof/>
          <w:sz w:val="24"/>
          <w:szCs w:val="24"/>
        </w:rPr>
        <w:t>l’UE</w:t>
      </w:r>
      <w:r w:rsidRPr="00CE6AD8">
        <w:rPr>
          <w:noProof/>
          <w:sz w:val="24"/>
          <w:szCs w:val="24"/>
        </w:rPr>
        <w:t xml:space="preserve"> et ses Etats membres</w:t>
      </w:r>
    </w:p>
    <w:p w:rsidR="00AF5C2E" w:rsidRPr="00CE6AD8" w:rsidRDefault="00AF5C2E" w:rsidP="00AF5C2E">
      <w:pPr>
        <w:pStyle w:val="TM3"/>
        <w:rPr>
          <w:rFonts w:eastAsia="Times New Roman"/>
        </w:rPr>
      </w:pPr>
      <w:r>
        <w:rPr>
          <w:rStyle w:val="Lienhypertexte"/>
          <w:color w:val="auto"/>
          <w:sz w:val="20"/>
          <w:u w:val="none"/>
        </w:rPr>
        <w:t>A/</w:t>
      </w:r>
      <w:r w:rsidRPr="00CE6AD8">
        <w:t xml:space="preserve"> Les principes régissant </w:t>
      </w:r>
      <w:r>
        <w:t>l’exercice des</w:t>
      </w:r>
      <w:r w:rsidRPr="00CE6AD8">
        <w:t xml:space="preserve"> compétences</w:t>
      </w:r>
    </w:p>
    <w:p w:rsidR="00AF5C2E" w:rsidRPr="00CE6AD8" w:rsidRDefault="00AF5C2E" w:rsidP="00AF5C2E">
      <w:pPr>
        <w:pStyle w:val="TM4"/>
        <w:rPr>
          <w:rFonts w:eastAsia="Times New Roman"/>
        </w:rPr>
      </w:pPr>
      <w:r>
        <w:tab/>
        <w:t>1.</w:t>
      </w:r>
      <w:r w:rsidRPr="00CE6AD8">
        <w:t xml:space="preserve"> Les principes régulateurs de</w:t>
      </w:r>
      <w:r>
        <w:t xml:space="preserve"> l’exercice de</w:t>
      </w:r>
      <w:r w:rsidRPr="00CE6AD8">
        <w:t>s compétences</w:t>
      </w:r>
      <w:r>
        <w:t xml:space="preserve"> de l’UE</w:t>
      </w:r>
    </w:p>
    <w:p w:rsidR="00AF5C2E" w:rsidRPr="00CE6AD8" w:rsidRDefault="00AF5C2E" w:rsidP="00AF5C2E">
      <w:pPr>
        <w:pStyle w:val="TM5"/>
        <w:tabs>
          <w:tab w:val="left" w:pos="709"/>
        </w:tabs>
        <w:jc w:val="both"/>
        <w:rPr>
          <w:rFonts w:eastAsia="Times New Roman"/>
        </w:rPr>
      </w:pPr>
      <w:r>
        <w:tab/>
        <w:t>a)</w:t>
      </w:r>
      <w:r w:rsidRPr="00CE6AD8">
        <w:rPr>
          <w:rFonts w:eastAsia="Times New Roman"/>
        </w:rPr>
        <w:t xml:space="preserve"> </w:t>
      </w:r>
      <w:r w:rsidRPr="00CE6AD8">
        <w:t>Le principe de subsidiarité</w:t>
      </w:r>
    </w:p>
    <w:p w:rsidR="00AF5C2E" w:rsidRPr="00CE6AD8" w:rsidRDefault="00AF5C2E" w:rsidP="00AF5C2E">
      <w:pPr>
        <w:pStyle w:val="TM6"/>
        <w:rPr>
          <w:rFonts w:eastAsia="Times New Roman"/>
          <w:noProof/>
        </w:rPr>
      </w:pPr>
      <w:r>
        <w:rPr>
          <w:noProof/>
        </w:rPr>
        <w:t>i</w:t>
      </w:r>
      <w:r w:rsidRPr="00CE6AD8">
        <w:rPr>
          <w:noProof/>
        </w:rPr>
        <w:t>)</w:t>
      </w:r>
      <w:r w:rsidRPr="00CE6AD8">
        <w:rPr>
          <w:rFonts w:eastAsia="Times New Roman"/>
          <w:noProof/>
        </w:rPr>
        <w:t xml:space="preserve"> </w:t>
      </w:r>
      <w:r w:rsidRPr="00CE6AD8">
        <w:rPr>
          <w:noProof/>
        </w:rPr>
        <w:t>Les fondements</w:t>
      </w:r>
    </w:p>
    <w:p w:rsidR="00AF5C2E" w:rsidRPr="00CE6AD8" w:rsidRDefault="00AF5C2E" w:rsidP="00AF5C2E">
      <w:pPr>
        <w:pStyle w:val="TM6"/>
        <w:rPr>
          <w:rFonts w:eastAsia="Times New Roman"/>
          <w:noProof/>
        </w:rPr>
      </w:pPr>
      <w:r>
        <w:rPr>
          <w:noProof/>
        </w:rPr>
        <w:t>ii</w:t>
      </w:r>
      <w:r w:rsidRPr="00CE6AD8">
        <w:rPr>
          <w:noProof/>
        </w:rPr>
        <w:t>)</w:t>
      </w:r>
      <w:r w:rsidRPr="00CE6AD8">
        <w:rPr>
          <w:rFonts w:eastAsia="Times New Roman"/>
          <w:noProof/>
        </w:rPr>
        <w:t xml:space="preserve"> </w:t>
      </w:r>
      <w:r w:rsidRPr="00CE6AD8">
        <w:rPr>
          <w:noProof/>
        </w:rPr>
        <w:t>La signification</w:t>
      </w:r>
    </w:p>
    <w:p w:rsidR="00AF5C2E" w:rsidRPr="00CE6AD8" w:rsidRDefault="00AF5C2E" w:rsidP="00AF5C2E">
      <w:pPr>
        <w:pStyle w:val="TM5"/>
        <w:tabs>
          <w:tab w:val="left" w:pos="709"/>
        </w:tabs>
        <w:jc w:val="both"/>
        <w:rPr>
          <w:rFonts w:eastAsia="Times New Roman"/>
        </w:rPr>
      </w:pPr>
      <w:r>
        <w:tab/>
        <w:t>b)</w:t>
      </w:r>
      <w:r w:rsidRPr="00CE6AD8">
        <w:rPr>
          <w:rFonts w:eastAsia="Times New Roman"/>
        </w:rPr>
        <w:t xml:space="preserve"> </w:t>
      </w:r>
      <w:r w:rsidRPr="00CE6AD8">
        <w:t>Le principe de proportionnalité</w:t>
      </w:r>
    </w:p>
    <w:p w:rsidR="00AF5C2E" w:rsidRPr="00CE6AD8" w:rsidRDefault="00AF5C2E" w:rsidP="00AF5C2E">
      <w:pPr>
        <w:pStyle w:val="TM4"/>
        <w:rPr>
          <w:rFonts w:eastAsia="Times New Roman"/>
        </w:rPr>
      </w:pPr>
      <w:r>
        <w:tab/>
        <w:t>2.</w:t>
      </w:r>
      <w:r w:rsidRPr="00CE6AD8">
        <w:rPr>
          <w:rFonts w:eastAsia="Times New Roman"/>
        </w:rPr>
        <w:t xml:space="preserve"> L</w:t>
      </w:r>
      <w:r w:rsidRPr="00CE6AD8">
        <w:t>es principes s’imposant aux Etats membres</w:t>
      </w:r>
    </w:p>
    <w:p w:rsidR="00AF5C2E" w:rsidRPr="00CE6AD8" w:rsidRDefault="00AF5C2E" w:rsidP="00AF5C2E">
      <w:pPr>
        <w:pStyle w:val="TM3"/>
        <w:rPr>
          <w:rFonts w:eastAsia="Times New Roman"/>
        </w:rPr>
      </w:pPr>
      <w:r>
        <w:rPr>
          <w:rStyle w:val="Lienhypertexte"/>
          <w:color w:val="000000"/>
          <w:sz w:val="20"/>
          <w:u w:val="none"/>
        </w:rPr>
        <w:t>B/</w:t>
      </w:r>
      <w:r w:rsidRPr="00CE6AD8">
        <w:rPr>
          <w:rFonts w:eastAsia="Times New Roman"/>
        </w:rPr>
        <w:t xml:space="preserve"> </w:t>
      </w:r>
      <w:r w:rsidRPr="00CE6AD8">
        <w:t>La typologie des compétences selon le niveau d’intervention</w:t>
      </w:r>
    </w:p>
    <w:p w:rsidR="00AF5C2E" w:rsidRPr="000F289E" w:rsidRDefault="00AF5C2E" w:rsidP="00AF5C2E">
      <w:pPr>
        <w:pStyle w:val="TM7"/>
      </w:pPr>
      <w:r w:rsidRPr="000F289E">
        <w:t>i) Le partage vertical des compétences</w:t>
      </w:r>
    </w:p>
    <w:p w:rsidR="00AF5C2E" w:rsidRDefault="00AF5C2E" w:rsidP="00AF5C2E">
      <w:pPr>
        <w:pStyle w:val="TM7"/>
      </w:pPr>
      <w:r w:rsidRPr="000F289E">
        <w:t>ii) Le partage horizontal des compétences</w:t>
      </w:r>
    </w:p>
    <w:p w:rsidR="00AF5C2E" w:rsidRPr="00147F75" w:rsidRDefault="00AF5C2E" w:rsidP="00AF5C2E"/>
    <w:p w:rsidR="00AF5C2E" w:rsidRPr="00CE6AD8" w:rsidRDefault="00AF5C2E" w:rsidP="00AF5C2E">
      <w:pPr>
        <w:pStyle w:val="TM4"/>
        <w:rPr>
          <w:rFonts w:eastAsia="Times New Roman"/>
        </w:rPr>
      </w:pPr>
      <w:r>
        <w:lastRenderedPageBreak/>
        <w:tab/>
        <w:t>1.</w:t>
      </w:r>
      <w:r w:rsidRPr="00CE6AD8">
        <w:t xml:space="preserve"> Les compétences retenues par les Etats</w:t>
      </w:r>
    </w:p>
    <w:p w:rsidR="00AF5C2E" w:rsidRPr="00CE6AD8" w:rsidRDefault="00AF5C2E" w:rsidP="00AF5C2E">
      <w:pPr>
        <w:pStyle w:val="TM4"/>
        <w:rPr>
          <w:rFonts w:eastAsia="Times New Roman"/>
        </w:rPr>
      </w:pPr>
      <w:r>
        <w:tab/>
        <w:t>2.</w:t>
      </w:r>
      <w:r w:rsidRPr="00CE6AD8">
        <w:rPr>
          <w:rFonts w:eastAsia="Times New Roman"/>
        </w:rPr>
        <w:t xml:space="preserve"> </w:t>
      </w:r>
      <w:r w:rsidRPr="00CE6AD8">
        <w:t>L</w:t>
      </w:r>
      <w:r>
        <w:t>es compétences partagées entre l’UE et les Etats membres</w:t>
      </w:r>
    </w:p>
    <w:p w:rsidR="00AF5C2E" w:rsidRPr="006971D8" w:rsidRDefault="00AF5C2E" w:rsidP="00AF5C2E">
      <w:pPr>
        <w:pStyle w:val="TM5"/>
        <w:tabs>
          <w:tab w:val="left" w:pos="709"/>
        </w:tabs>
        <w:jc w:val="both"/>
      </w:pPr>
      <w:r>
        <w:tab/>
        <w:t>a)</w:t>
      </w:r>
      <w:r w:rsidRPr="006971D8">
        <w:t xml:space="preserve"> Les domaines des compétences</w:t>
      </w:r>
      <w:r>
        <w:t xml:space="preserve"> partagées</w:t>
      </w:r>
    </w:p>
    <w:p w:rsidR="00AF5C2E" w:rsidRPr="006971D8" w:rsidRDefault="00AF5C2E" w:rsidP="00AF5C2E">
      <w:pPr>
        <w:pStyle w:val="TM5"/>
        <w:tabs>
          <w:tab w:val="left" w:pos="709"/>
        </w:tabs>
        <w:jc w:val="both"/>
      </w:pPr>
      <w:r>
        <w:tab/>
        <w:t>b)</w:t>
      </w:r>
      <w:r w:rsidRPr="006971D8">
        <w:t xml:space="preserve"> Les modes de partage des compétences</w:t>
      </w:r>
    </w:p>
    <w:p w:rsidR="00AF5C2E" w:rsidRPr="00CE6AD8" w:rsidRDefault="00AF5C2E" w:rsidP="00AF5C2E">
      <w:pPr>
        <w:pStyle w:val="TM5"/>
        <w:tabs>
          <w:tab w:val="left" w:pos="709"/>
        </w:tabs>
        <w:jc w:val="both"/>
        <w:rPr>
          <w:rFonts w:eastAsia="Times New Roman"/>
        </w:rPr>
      </w:pPr>
      <w:r>
        <w:t>i)</w:t>
      </w:r>
      <w:r w:rsidRPr="00CE6AD8">
        <w:rPr>
          <w:rFonts w:eastAsia="Times New Roman"/>
        </w:rPr>
        <w:t xml:space="preserve"> </w:t>
      </w:r>
      <w:r w:rsidRPr="00CE6AD8">
        <w:t>Les compétences concurrentes</w:t>
      </w:r>
    </w:p>
    <w:p w:rsidR="00AF5C2E" w:rsidRPr="00CE6AD8" w:rsidRDefault="00AF5C2E" w:rsidP="00AF5C2E">
      <w:pPr>
        <w:pStyle w:val="TM5"/>
        <w:tabs>
          <w:tab w:val="left" w:pos="709"/>
        </w:tabs>
        <w:jc w:val="both"/>
        <w:rPr>
          <w:rFonts w:eastAsia="Times New Roman"/>
        </w:rPr>
      </w:pPr>
      <w:r>
        <w:t>ii)</w:t>
      </w:r>
      <w:r w:rsidRPr="00CE6AD8">
        <w:rPr>
          <w:rFonts w:eastAsia="Times New Roman"/>
        </w:rPr>
        <w:t xml:space="preserve"> </w:t>
      </w:r>
      <w:r w:rsidRPr="00CE6AD8">
        <w:t>Les compétences parallèles et juxtaposées</w:t>
      </w:r>
    </w:p>
    <w:p w:rsidR="00AF5C2E" w:rsidRPr="00CE6AD8" w:rsidRDefault="00AF5C2E" w:rsidP="00AF5C2E">
      <w:pPr>
        <w:pStyle w:val="TM4"/>
        <w:rPr>
          <w:rFonts w:eastAsia="Times New Roman"/>
        </w:rPr>
      </w:pPr>
      <w:r>
        <w:tab/>
        <w:t>3.</w:t>
      </w:r>
      <w:r w:rsidRPr="00CE6AD8">
        <w:rPr>
          <w:rFonts w:eastAsia="Times New Roman"/>
        </w:rPr>
        <w:t xml:space="preserve"> </w:t>
      </w:r>
      <w:r w:rsidRPr="00CE6AD8">
        <w:t>L</w:t>
      </w:r>
      <w:r>
        <w:t>es compétences exclusives de l’Union européenne</w:t>
      </w:r>
    </w:p>
    <w:p w:rsidR="00AF5C2E" w:rsidRPr="00CE6AD8" w:rsidRDefault="00AF5C2E" w:rsidP="00AF5C2E">
      <w:pPr>
        <w:pStyle w:val="TM5"/>
        <w:tabs>
          <w:tab w:val="left" w:pos="709"/>
        </w:tabs>
        <w:jc w:val="both"/>
        <w:rPr>
          <w:rFonts w:eastAsia="Times New Roman"/>
        </w:rPr>
      </w:pPr>
      <w:r>
        <w:tab/>
        <w:t>a)</w:t>
      </w:r>
      <w:r w:rsidRPr="00CE6AD8">
        <w:rPr>
          <w:rFonts w:eastAsia="Times New Roman"/>
        </w:rPr>
        <w:t xml:space="preserve"> </w:t>
      </w:r>
      <w:r w:rsidRPr="00CE6AD8">
        <w:t>L</w:t>
      </w:r>
      <w:r>
        <w:t>a distinction entre l</w:t>
      </w:r>
      <w:r w:rsidRPr="00CE6AD8">
        <w:t>es compétences exclusives par nature</w:t>
      </w:r>
      <w:r>
        <w:t xml:space="preserve"> et exclusives par exercice</w:t>
      </w:r>
    </w:p>
    <w:p w:rsidR="00AF5C2E" w:rsidRPr="00CE6AD8" w:rsidRDefault="00AF5C2E" w:rsidP="00AF5C2E">
      <w:pPr>
        <w:pStyle w:val="TM5"/>
        <w:tabs>
          <w:tab w:val="left" w:pos="709"/>
        </w:tabs>
        <w:jc w:val="both"/>
        <w:rPr>
          <w:rFonts w:eastAsia="Times New Roman"/>
        </w:rPr>
      </w:pPr>
      <w:r>
        <w:tab/>
        <w:t>b)</w:t>
      </w:r>
      <w:r w:rsidRPr="00CE6AD8">
        <w:rPr>
          <w:rFonts w:eastAsia="Times New Roman"/>
        </w:rPr>
        <w:t xml:space="preserve"> </w:t>
      </w:r>
      <w:r>
        <w:t>L’identification des compétences exclusives par le traité de Lisbonne</w:t>
      </w:r>
    </w:p>
    <w:p w:rsidR="00AF5C2E" w:rsidRPr="006971D8" w:rsidRDefault="00AF5C2E" w:rsidP="00AF5C2E">
      <w:pPr>
        <w:pStyle w:val="TM3"/>
        <w:rPr>
          <w:rStyle w:val="Lienhypertexte"/>
          <w:color w:val="000000"/>
          <w:sz w:val="20"/>
          <w:u w:val="none"/>
        </w:rPr>
      </w:pPr>
      <w:r w:rsidRPr="006971D8">
        <w:rPr>
          <w:rStyle w:val="Lienhypertexte"/>
          <w:color w:val="000000"/>
          <w:sz w:val="20"/>
          <w:u w:val="none"/>
        </w:rPr>
        <w:tab/>
      </w:r>
    </w:p>
    <w:p w:rsidR="00AF5C2E" w:rsidRDefault="00AF5C2E" w:rsidP="00AF5C2E">
      <w:pPr>
        <w:pStyle w:val="TM3"/>
        <w:rPr>
          <w:rStyle w:val="Lienhypertexte"/>
          <w:color w:val="000000"/>
          <w:u w:val="none"/>
        </w:rPr>
      </w:pPr>
      <w:r>
        <w:rPr>
          <w:rStyle w:val="Lienhypertexte"/>
          <w:b/>
          <w:color w:val="000000"/>
          <w:u w:val="none"/>
        </w:rPr>
        <w:tab/>
      </w:r>
      <w:r w:rsidRPr="00D20F3E">
        <w:rPr>
          <w:rStyle w:val="Lienhypertexte"/>
          <w:b/>
          <w:color w:val="000000"/>
        </w:rPr>
        <w:t>Section II</w:t>
      </w:r>
      <w:r w:rsidRPr="00A111E1">
        <w:rPr>
          <w:rStyle w:val="Lienhypertexte"/>
          <w:color w:val="000000"/>
          <w:u w:val="none"/>
        </w:rPr>
        <w:t xml:space="preserve">: La répartition des fonctions </w:t>
      </w:r>
    </w:p>
    <w:p w:rsidR="00AF5C2E" w:rsidRPr="00DF7E98" w:rsidRDefault="00AF5C2E" w:rsidP="00AF5C2E"/>
    <w:p w:rsidR="00AF5C2E" w:rsidRPr="00DF7E98" w:rsidRDefault="00AF5C2E" w:rsidP="00AF5C2E">
      <w:pPr>
        <w:pStyle w:val="TM3"/>
        <w:rPr>
          <w:b/>
          <w:sz w:val="20"/>
        </w:rPr>
      </w:pPr>
      <w:r>
        <w:rPr>
          <w:rStyle w:val="Lienhypertexte"/>
          <w:b/>
          <w:color w:val="000000"/>
          <w:sz w:val="20"/>
          <w:u w:val="none"/>
        </w:rPr>
        <w:tab/>
      </w:r>
      <w:r w:rsidRPr="00D20F3E">
        <w:rPr>
          <w:rStyle w:val="Lienhypertexte"/>
          <w:color w:val="000000"/>
        </w:rPr>
        <w:t>§</w:t>
      </w:r>
      <w:r w:rsidRPr="00D20F3E">
        <w:rPr>
          <w:rStyle w:val="Lienhypertexte"/>
          <w:b/>
          <w:color w:val="000000"/>
        </w:rPr>
        <w:t xml:space="preserve"> </w:t>
      </w:r>
      <w:r w:rsidRPr="00D20F3E">
        <w:rPr>
          <w:u w:val="single"/>
        </w:rPr>
        <w:t>1</w:t>
      </w:r>
      <w:r w:rsidRPr="006E045B">
        <w:t> :</w:t>
      </w:r>
      <w:r w:rsidRPr="006E045B">
        <w:rPr>
          <w:rFonts w:eastAsia="Times New Roman"/>
        </w:rPr>
        <w:t xml:space="preserve"> L</w:t>
      </w:r>
      <w:r w:rsidRPr="006E045B">
        <w:t>a fonction législative</w:t>
      </w:r>
    </w:p>
    <w:p w:rsidR="00AF5C2E" w:rsidRPr="001B58CC" w:rsidRDefault="00AF5C2E" w:rsidP="00AF5C2E">
      <w:pPr>
        <w:pStyle w:val="TM4"/>
        <w:rPr>
          <w:rFonts w:eastAsia="Times New Roman"/>
        </w:rPr>
      </w:pPr>
      <w:r w:rsidRPr="001B58CC">
        <w:t>A/</w:t>
      </w:r>
      <w:r w:rsidRPr="001B58CC">
        <w:rPr>
          <w:rFonts w:eastAsia="Times New Roman"/>
        </w:rPr>
        <w:t xml:space="preserve"> L</w:t>
      </w:r>
      <w:r w:rsidRPr="001B58CC">
        <w:t>’identification d’une fonction législative</w:t>
      </w:r>
    </w:p>
    <w:p w:rsidR="00AF5C2E" w:rsidRPr="00DC587B" w:rsidRDefault="00AF5C2E" w:rsidP="00AF5C2E">
      <w:pPr>
        <w:tabs>
          <w:tab w:val="left" w:pos="709"/>
        </w:tabs>
        <w:jc w:val="both"/>
        <w:rPr>
          <w:szCs w:val="20"/>
        </w:rPr>
      </w:pPr>
      <w:r w:rsidRPr="00DC587B">
        <w:rPr>
          <w:szCs w:val="20"/>
        </w:rPr>
        <w:t>B/ L’exercice de la fonction législative</w:t>
      </w:r>
    </w:p>
    <w:p w:rsidR="00AF5C2E" w:rsidRPr="006971D8" w:rsidRDefault="00AF5C2E" w:rsidP="00AF5C2E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E6AD8">
        <w:rPr>
          <w:sz w:val="20"/>
          <w:szCs w:val="20"/>
        </w:rPr>
        <w:t>1. L’initiative législative</w:t>
      </w:r>
    </w:p>
    <w:p w:rsidR="00AF5C2E" w:rsidRDefault="00AF5C2E" w:rsidP="00AF5C2E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E6AD8">
        <w:rPr>
          <w:sz w:val="20"/>
          <w:szCs w:val="20"/>
        </w:rPr>
        <w:t>2. L</w:t>
      </w:r>
      <w:r>
        <w:rPr>
          <w:sz w:val="20"/>
          <w:szCs w:val="20"/>
        </w:rPr>
        <w:t>a procédure d</w:t>
      </w:r>
      <w:r w:rsidRPr="00CE6AD8">
        <w:rPr>
          <w:sz w:val="20"/>
          <w:szCs w:val="20"/>
        </w:rPr>
        <w:t>’adoption d</w:t>
      </w:r>
      <w:r>
        <w:rPr>
          <w:sz w:val="20"/>
          <w:szCs w:val="20"/>
        </w:rPr>
        <w:t xml:space="preserve">es </w:t>
      </w:r>
      <w:r w:rsidRPr="00CE6AD8">
        <w:rPr>
          <w:sz w:val="20"/>
          <w:szCs w:val="20"/>
        </w:rPr>
        <w:t>actes législatifs</w:t>
      </w:r>
    </w:p>
    <w:p w:rsidR="00AF5C2E" w:rsidRDefault="00AF5C2E" w:rsidP="00AF5C2E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3. Les modalités de vote au sein du Conseil</w:t>
      </w:r>
    </w:p>
    <w:p w:rsidR="00AF5C2E" w:rsidRPr="006971D8" w:rsidRDefault="00AF5C2E" w:rsidP="00AF5C2E">
      <w:pPr>
        <w:tabs>
          <w:tab w:val="left" w:pos="709"/>
        </w:tabs>
        <w:jc w:val="both"/>
        <w:rPr>
          <w:sz w:val="20"/>
          <w:szCs w:val="20"/>
        </w:rPr>
      </w:pPr>
    </w:p>
    <w:p w:rsidR="00AF5C2E" w:rsidRPr="001B58CC" w:rsidRDefault="00AF5C2E" w:rsidP="00AF5C2E">
      <w:pPr>
        <w:pStyle w:val="TM4"/>
      </w:pPr>
      <w:r>
        <w:tab/>
      </w:r>
      <w:r w:rsidRPr="00D20F3E">
        <w:rPr>
          <w:u w:val="single"/>
        </w:rPr>
        <w:t>§ 2</w:t>
      </w:r>
      <w:r w:rsidRPr="00554E92">
        <w:t> : La fonction exécutive</w:t>
      </w:r>
    </w:p>
    <w:p w:rsidR="00AF5C2E" w:rsidRPr="00DC587B" w:rsidRDefault="00AF5C2E" w:rsidP="00AF5C2E">
      <w:pPr>
        <w:tabs>
          <w:tab w:val="left" w:pos="709"/>
        </w:tabs>
        <w:jc w:val="both"/>
      </w:pPr>
      <w:r w:rsidRPr="00DC587B">
        <w:t>A/ Le pouvoir exécutif des Institutions de l’UE</w:t>
      </w:r>
    </w:p>
    <w:p w:rsidR="00AF5C2E" w:rsidRDefault="00AF5C2E" w:rsidP="00AF5C2E">
      <w:pPr>
        <w:tabs>
          <w:tab w:val="left" w:pos="709"/>
        </w:tabs>
        <w:jc w:val="both"/>
      </w:pPr>
      <w:r>
        <w:t>B/ La mise en œuvre du droit de l’Union par les Etats membres</w:t>
      </w:r>
    </w:p>
    <w:p w:rsidR="00AF5C2E" w:rsidRPr="00C85902" w:rsidRDefault="00AF5C2E" w:rsidP="00AF5C2E">
      <w:pPr>
        <w:tabs>
          <w:tab w:val="left" w:pos="709"/>
        </w:tabs>
        <w:jc w:val="both"/>
      </w:pPr>
    </w:p>
    <w:p w:rsidR="00AF5C2E" w:rsidRPr="005B1251" w:rsidRDefault="00AF5C2E" w:rsidP="00AF5C2E">
      <w:pPr>
        <w:pStyle w:val="TM2"/>
        <w:rPr>
          <w:rStyle w:val="Lienhypertexte"/>
          <w:b w:val="0"/>
          <w:bCs/>
          <w:color w:val="000000"/>
          <w:u w:val="none"/>
        </w:rPr>
      </w:pPr>
      <w:r>
        <w:rPr>
          <w:rStyle w:val="Lienhypertexte"/>
          <w:b w:val="0"/>
          <w:bCs/>
          <w:color w:val="000000"/>
          <w:u w:val="none"/>
        </w:rPr>
        <w:tab/>
      </w:r>
      <w:r w:rsidRPr="00D20F3E">
        <w:rPr>
          <w:rStyle w:val="Lienhypertexte"/>
          <w:b w:val="0"/>
          <w:bCs/>
          <w:color w:val="000000"/>
        </w:rPr>
        <w:t>§ 3</w:t>
      </w:r>
      <w:r>
        <w:rPr>
          <w:rStyle w:val="Lienhypertexte"/>
          <w:b w:val="0"/>
          <w:bCs/>
          <w:color w:val="000000"/>
          <w:u w:val="none"/>
        </w:rPr>
        <w:t> : La fonction judiciaire</w:t>
      </w:r>
    </w:p>
    <w:p w:rsidR="00AF5C2E" w:rsidRPr="006971D8" w:rsidRDefault="00AF5C2E" w:rsidP="00AF5C2E">
      <w:pPr>
        <w:tabs>
          <w:tab w:val="left" w:pos="709"/>
        </w:tabs>
        <w:jc w:val="both"/>
      </w:pPr>
    </w:p>
    <w:p w:rsidR="00AF5C2E" w:rsidRPr="00104938" w:rsidRDefault="00AF5C2E" w:rsidP="00AF5C2E">
      <w:pPr>
        <w:tabs>
          <w:tab w:val="left" w:pos="709"/>
        </w:tabs>
        <w:jc w:val="center"/>
        <w:rPr>
          <w:rStyle w:val="Lienhypertexte"/>
          <w:b/>
          <w:bCs/>
          <w:color w:val="000000"/>
          <w:sz w:val="28"/>
          <w:szCs w:val="28"/>
          <w:u w:val="none"/>
        </w:rPr>
      </w:pPr>
      <w:r w:rsidRPr="006971D8">
        <w:br w:type="page"/>
      </w:r>
      <w:r w:rsidRPr="00104938">
        <w:rPr>
          <w:rStyle w:val="Lienhypertexte"/>
          <w:b/>
          <w:bCs/>
          <w:color w:val="000000"/>
          <w:sz w:val="24"/>
          <w:szCs w:val="28"/>
          <w:u w:val="none"/>
        </w:rPr>
        <w:lastRenderedPageBreak/>
        <w:t>Chapitre II : L'ORDRE JURIDIQUE DE L’UNION EUROPÉENNE</w:t>
      </w:r>
    </w:p>
    <w:p w:rsidR="00AF5C2E" w:rsidRPr="00740DD8" w:rsidRDefault="00AF5C2E" w:rsidP="00AF5C2E">
      <w:pPr>
        <w:tabs>
          <w:tab w:val="left" w:pos="709"/>
        </w:tabs>
        <w:jc w:val="both"/>
        <w:rPr>
          <w:b/>
          <w:color w:val="000000"/>
          <w:sz w:val="20"/>
          <w:szCs w:val="20"/>
        </w:rPr>
      </w:pPr>
    </w:p>
    <w:p w:rsidR="00AF5C2E" w:rsidRDefault="00AF5C2E" w:rsidP="00AF5C2E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D20F3E">
        <w:rPr>
          <w:b/>
          <w:sz w:val="24"/>
          <w:szCs w:val="24"/>
          <w:u w:val="single"/>
        </w:rPr>
        <w:t>Section I</w:t>
      </w:r>
      <w:r w:rsidRPr="00F31F61">
        <w:rPr>
          <w:b/>
          <w:sz w:val="24"/>
          <w:szCs w:val="24"/>
        </w:rPr>
        <w:t xml:space="preserve"> : </w:t>
      </w:r>
      <w:r w:rsidRPr="00D20F3E">
        <w:rPr>
          <w:sz w:val="24"/>
          <w:szCs w:val="24"/>
        </w:rPr>
        <w:t>Les sources du droit de l’UE</w:t>
      </w:r>
    </w:p>
    <w:p w:rsidR="00AF5C2E" w:rsidRPr="00F31F61" w:rsidRDefault="00AF5C2E" w:rsidP="00AF5C2E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AF5C2E" w:rsidRPr="006971D8" w:rsidRDefault="00AF5C2E" w:rsidP="00AF5C2E">
      <w:p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D20F3E">
        <w:rPr>
          <w:sz w:val="24"/>
          <w:szCs w:val="24"/>
          <w:u w:val="single"/>
        </w:rPr>
        <w:t>§ 1</w:t>
      </w:r>
      <w:r>
        <w:rPr>
          <w:sz w:val="24"/>
          <w:szCs w:val="24"/>
        </w:rPr>
        <w:t xml:space="preserve"> : </w:t>
      </w:r>
      <w:r w:rsidRPr="00CE6AD8">
        <w:rPr>
          <w:sz w:val="24"/>
          <w:szCs w:val="24"/>
        </w:rPr>
        <w:t xml:space="preserve">la diversité des sources </w:t>
      </w:r>
      <w:r w:rsidRPr="00CE6AD8">
        <w:rPr>
          <w:webHidden/>
          <w:sz w:val="24"/>
          <w:szCs w:val="24"/>
        </w:rPr>
        <w:tab/>
      </w:r>
    </w:p>
    <w:p w:rsidR="00AF5C2E" w:rsidRPr="006B3B55" w:rsidRDefault="00AF5C2E" w:rsidP="00AF5C2E">
      <w:pPr>
        <w:tabs>
          <w:tab w:val="left" w:pos="709"/>
        </w:tabs>
        <w:jc w:val="both"/>
        <w:rPr>
          <w:sz w:val="24"/>
          <w:szCs w:val="20"/>
        </w:rPr>
      </w:pPr>
      <w:r>
        <w:rPr>
          <w:sz w:val="24"/>
          <w:szCs w:val="20"/>
        </w:rPr>
        <w:t>A</w:t>
      </w:r>
      <w:r w:rsidRPr="006B3B55">
        <w:rPr>
          <w:sz w:val="24"/>
          <w:szCs w:val="20"/>
        </w:rPr>
        <w:t>) Le droit primaire</w:t>
      </w:r>
    </w:p>
    <w:p w:rsidR="00AF5C2E" w:rsidRPr="006B3B55" w:rsidRDefault="00AF5C2E" w:rsidP="00AF5C2E">
      <w:pPr>
        <w:tabs>
          <w:tab w:val="left" w:pos="709"/>
        </w:tabs>
        <w:jc w:val="both"/>
        <w:rPr>
          <w:sz w:val="24"/>
          <w:szCs w:val="20"/>
        </w:rPr>
      </w:pPr>
      <w:r>
        <w:rPr>
          <w:sz w:val="24"/>
          <w:szCs w:val="20"/>
        </w:rPr>
        <w:t>B</w:t>
      </w:r>
      <w:r w:rsidRPr="006B3B55">
        <w:rPr>
          <w:sz w:val="24"/>
          <w:szCs w:val="20"/>
        </w:rPr>
        <w:t>) Les principes généraux</w:t>
      </w:r>
    </w:p>
    <w:p w:rsidR="00AF5C2E" w:rsidRPr="006B3B55" w:rsidRDefault="00AF5C2E" w:rsidP="00AF5C2E">
      <w:pPr>
        <w:tabs>
          <w:tab w:val="left" w:pos="709"/>
        </w:tabs>
        <w:jc w:val="both"/>
        <w:rPr>
          <w:sz w:val="24"/>
          <w:szCs w:val="20"/>
        </w:rPr>
      </w:pPr>
      <w:r>
        <w:rPr>
          <w:sz w:val="24"/>
          <w:szCs w:val="20"/>
        </w:rPr>
        <w:t>C</w:t>
      </w:r>
      <w:r w:rsidRPr="006B3B55">
        <w:rPr>
          <w:sz w:val="24"/>
          <w:szCs w:val="20"/>
        </w:rPr>
        <w:t>) Le droit international</w:t>
      </w:r>
    </w:p>
    <w:p w:rsidR="00AF5C2E" w:rsidRPr="006971D8" w:rsidRDefault="00AF5C2E" w:rsidP="00AF5C2E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4"/>
          <w:szCs w:val="20"/>
        </w:rPr>
        <w:t>D</w:t>
      </w:r>
      <w:r w:rsidRPr="006B3B55">
        <w:rPr>
          <w:sz w:val="24"/>
          <w:szCs w:val="20"/>
        </w:rPr>
        <w:t>) Le</w:t>
      </w:r>
      <w:r>
        <w:rPr>
          <w:sz w:val="24"/>
          <w:szCs w:val="20"/>
        </w:rPr>
        <w:t>s actes unilatéraux de droit dérivé</w:t>
      </w:r>
    </w:p>
    <w:p w:rsidR="00AF5C2E" w:rsidRPr="006B3B55" w:rsidRDefault="00AF5C2E" w:rsidP="00AF5C2E">
      <w:pPr>
        <w:tabs>
          <w:tab w:val="left" w:pos="709"/>
        </w:tabs>
        <w:jc w:val="both"/>
        <w:rPr>
          <w:szCs w:val="20"/>
        </w:rPr>
      </w:pPr>
      <w:r>
        <w:rPr>
          <w:szCs w:val="20"/>
        </w:rPr>
        <w:tab/>
        <w:t>1.</w:t>
      </w:r>
      <w:r w:rsidRPr="006B3B55">
        <w:rPr>
          <w:szCs w:val="20"/>
        </w:rPr>
        <w:t xml:space="preserve"> Les règlements</w:t>
      </w:r>
      <w:r w:rsidRPr="006B3B55">
        <w:rPr>
          <w:webHidden/>
          <w:szCs w:val="20"/>
        </w:rPr>
        <w:tab/>
      </w:r>
    </w:p>
    <w:p w:rsidR="00AF5C2E" w:rsidRPr="006971D8" w:rsidRDefault="00AF5C2E" w:rsidP="00AF5C2E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E6AD8">
        <w:rPr>
          <w:sz w:val="20"/>
          <w:szCs w:val="20"/>
        </w:rPr>
        <w:t>a</w:t>
      </w:r>
      <w:r>
        <w:rPr>
          <w:sz w:val="20"/>
          <w:szCs w:val="20"/>
        </w:rPr>
        <w:t>)</w:t>
      </w:r>
      <w:r w:rsidRPr="00CE6AD8">
        <w:rPr>
          <w:sz w:val="20"/>
          <w:szCs w:val="20"/>
        </w:rPr>
        <w:t xml:space="preserve"> La portée générale</w:t>
      </w:r>
      <w:r w:rsidRPr="00CE6AD8">
        <w:rPr>
          <w:webHidden/>
          <w:sz w:val="20"/>
          <w:szCs w:val="20"/>
        </w:rPr>
        <w:tab/>
      </w:r>
    </w:p>
    <w:p w:rsidR="00AF5C2E" w:rsidRPr="006971D8" w:rsidRDefault="00AF5C2E" w:rsidP="00AF5C2E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b)</w:t>
      </w:r>
      <w:r w:rsidRPr="00CE6AD8">
        <w:rPr>
          <w:sz w:val="20"/>
          <w:szCs w:val="20"/>
        </w:rPr>
        <w:t xml:space="preserve"> Le caractère obligatoire </w:t>
      </w:r>
      <w:proofErr w:type="spellStart"/>
      <w:r w:rsidRPr="00CE6AD8">
        <w:rPr>
          <w:sz w:val="20"/>
          <w:szCs w:val="20"/>
        </w:rPr>
        <w:t>ds</w:t>
      </w:r>
      <w:proofErr w:type="spellEnd"/>
      <w:r w:rsidRPr="00CE6AD8">
        <w:rPr>
          <w:sz w:val="20"/>
          <w:szCs w:val="20"/>
        </w:rPr>
        <w:t xml:space="preserve"> </w:t>
      </w:r>
      <w:proofErr w:type="spellStart"/>
      <w:r w:rsidRPr="00CE6AD8">
        <w:rPr>
          <w:sz w:val="20"/>
          <w:szCs w:val="20"/>
        </w:rPr>
        <w:t>ts</w:t>
      </w:r>
      <w:proofErr w:type="spellEnd"/>
      <w:r w:rsidRPr="00CE6AD8">
        <w:rPr>
          <w:sz w:val="20"/>
          <w:szCs w:val="20"/>
        </w:rPr>
        <w:t xml:space="preserve"> ses éléments</w:t>
      </w:r>
      <w:r w:rsidRPr="00CE6AD8">
        <w:rPr>
          <w:webHidden/>
          <w:sz w:val="20"/>
          <w:szCs w:val="20"/>
        </w:rPr>
        <w:tab/>
      </w:r>
    </w:p>
    <w:p w:rsidR="00AF5C2E" w:rsidRPr="006971D8" w:rsidRDefault="00AF5C2E" w:rsidP="00AF5C2E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6971D8">
        <w:rPr>
          <w:sz w:val="20"/>
          <w:szCs w:val="20"/>
        </w:rPr>
        <w:t>c</w:t>
      </w:r>
      <w:r>
        <w:rPr>
          <w:sz w:val="20"/>
          <w:szCs w:val="20"/>
        </w:rPr>
        <w:t>)</w:t>
      </w:r>
      <w:r w:rsidRPr="006971D8">
        <w:rPr>
          <w:sz w:val="20"/>
          <w:szCs w:val="20"/>
        </w:rPr>
        <w:t xml:space="preserve"> Un acte directement applicable </w:t>
      </w:r>
      <w:proofErr w:type="spellStart"/>
      <w:r w:rsidRPr="006971D8">
        <w:rPr>
          <w:sz w:val="20"/>
          <w:szCs w:val="20"/>
        </w:rPr>
        <w:t>ds</w:t>
      </w:r>
      <w:proofErr w:type="spellEnd"/>
      <w:r w:rsidRPr="006971D8">
        <w:rPr>
          <w:sz w:val="20"/>
          <w:szCs w:val="20"/>
        </w:rPr>
        <w:t xml:space="preserve"> tt Etat membre </w:t>
      </w:r>
    </w:p>
    <w:p w:rsidR="00AF5C2E" w:rsidRPr="006B3B55" w:rsidRDefault="00AF5C2E" w:rsidP="00AF5C2E">
      <w:pPr>
        <w:tabs>
          <w:tab w:val="left" w:pos="709"/>
        </w:tabs>
        <w:jc w:val="both"/>
        <w:rPr>
          <w:szCs w:val="20"/>
        </w:rPr>
      </w:pPr>
      <w:r>
        <w:rPr>
          <w:szCs w:val="20"/>
        </w:rPr>
        <w:tab/>
        <w:t>2.</w:t>
      </w:r>
      <w:r w:rsidRPr="006B3B55">
        <w:rPr>
          <w:szCs w:val="20"/>
        </w:rPr>
        <w:t xml:space="preserve"> Les directives</w:t>
      </w:r>
    </w:p>
    <w:p w:rsidR="00AF5C2E" w:rsidRPr="006971D8" w:rsidRDefault="00AF5C2E" w:rsidP="00AF5C2E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a)</w:t>
      </w:r>
      <w:r w:rsidRPr="00CE6AD8">
        <w:rPr>
          <w:sz w:val="20"/>
          <w:szCs w:val="20"/>
        </w:rPr>
        <w:t xml:space="preserve"> La nature de la directive</w:t>
      </w:r>
    </w:p>
    <w:p w:rsidR="00AF5C2E" w:rsidRDefault="00AF5C2E" w:rsidP="00AF5C2E">
      <w:pPr>
        <w:tabs>
          <w:tab w:val="left" w:pos="709"/>
        </w:tabs>
        <w:jc w:val="both"/>
      </w:pPr>
      <w:r>
        <w:rPr>
          <w:sz w:val="20"/>
          <w:szCs w:val="20"/>
        </w:rPr>
        <w:tab/>
        <w:t>b)</w:t>
      </w:r>
      <w:r w:rsidRPr="00CE6AD8">
        <w:rPr>
          <w:sz w:val="20"/>
          <w:szCs w:val="20"/>
        </w:rPr>
        <w:t xml:space="preserve"> La transposition des directives</w:t>
      </w:r>
    </w:p>
    <w:p w:rsidR="00AF5C2E" w:rsidRPr="006B3B55" w:rsidRDefault="00AF5C2E" w:rsidP="00AF5C2E">
      <w:pPr>
        <w:tabs>
          <w:tab w:val="left" w:pos="709"/>
        </w:tabs>
        <w:jc w:val="both"/>
        <w:rPr>
          <w:b/>
          <w:bCs/>
          <w:szCs w:val="20"/>
        </w:rPr>
      </w:pPr>
      <w:r>
        <w:rPr>
          <w:szCs w:val="20"/>
        </w:rPr>
        <w:tab/>
        <w:t>3.</w:t>
      </w:r>
      <w:r w:rsidRPr="006B3B55">
        <w:rPr>
          <w:szCs w:val="20"/>
        </w:rPr>
        <w:t xml:space="preserve"> La décision</w:t>
      </w:r>
      <w:r w:rsidRPr="006B3B55">
        <w:rPr>
          <w:webHidden/>
          <w:szCs w:val="20"/>
        </w:rPr>
        <w:tab/>
      </w:r>
    </w:p>
    <w:p w:rsidR="00AF5C2E" w:rsidRPr="006971D8" w:rsidRDefault="00AF5C2E" w:rsidP="00AF5C2E">
      <w:pPr>
        <w:tabs>
          <w:tab w:val="left" w:pos="709"/>
        </w:tabs>
        <w:jc w:val="both"/>
        <w:rPr>
          <w:sz w:val="20"/>
          <w:szCs w:val="20"/>
        </w:rPr>
      </w:pPr>
      <w:r w:rsidRPr="00CE6AD8">
        <w:rPr>
          <w:webHidden/>
          <w:sz w:val="20"/>
          <w:szCs w:val="20"/>
        </w:rPr>
        <w:tab/>
      </w:r>
    </w:p>
    <w:p w:rsidR="00AF5C2E" w:rsidRPr="007763C7" w:rsidRDefault="00AF5C2E" w:rsidP="00AF5C2E">
      <w:pPr>
        <w:tabs>
          <w:tab w:val="left" w:pos="709"/>
        </w:tabs>
        <w:ind w:firstLine="708"/>
        <w:jc w:val="both"/>
        <w:rPr>
          <w:sz w:val="20"/>
          <w:szCs w:val="20"/>
        </w:rPr>
      </w:pPr>
      <w:r w:rsidRPr="00D20F3E">
        <w:rPr>
          <w:sz w:val="24"/>
          <w:szCs w:val="24"/>
          <w:u w:val="single"/>
        </w:rPr>
        <w:t>§ 2</w:t>
      </w:r>
      <w:r w:rsidRPr="00554E92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Hi￩rarchie"/>
        </w:smartTagPr>
        <w:r w:rsidRPr="00CE6AD8">
          <w:rPr>
            <w:sz w:val="24"/>
            <w:szCs w:val="24"/>
          </w:rPr>
          <w:t>la</w:t>
        </w:r>
        <w:r>
          <w:rPr>
            <w:sz w:val="24"/>
            <w:szCs w:val="24"/>
          </w:rPr>
          <w:t xml:space="preserve"> Hiérarchie</w:t>
        </w:r>
      </w:smartTag>
      <w:r>
        <w:rPr>
          <w:sz w:val="24"/>
          <w:szCs w:val="24"/>
        </w:rPr>
        <w:t xml:space="preserve"> entre les sources</w:t>
      </w:r>
    </w:p>
    <w:p w:rsidR="00AF5C2E" w:rsidRPr="00F002F8" w:rsidRDefault="00AF5C2E" w:rsidP="00AF5C2E">
      <w:pPr>
        <w:pStyle w:val="TM2"/>
      </w:pPr>
      <w:r w:rsidRPr="00D85321">
        <w:rPr>
          <w:b w:val="0"/>
        </w:rPr>
        <w:t>A)</w:t>
      </w:r>
      <w:r w:rsidRPr="00BC371E">
        <w:rPr>
          <w:b w:val="0"/>
        </w:rPr>
        <w:t xml:space="preserve"> L’autorité des traités européens</w:t>
      </w:r>
    </w:p>
    <w:p w:rsidR="00AF5C2E" w:rsidRDefault="00AF5C2E" w:rsidP="00AF5C2E">
      <w:pPr>
        <w:jc w:val="both"/>
      </w:pPr>
      <w:r>
        <w:t>B) La valeur des principes généraux et des droits fondamentaux</w:t>
      </w:r>
    </w:p>
    <w:p w:rsidR="00AF5C2E" w:rsidRPr="00F002F8" w:rsidRDefault="00AF5C2E" w:rsidP="00AF5C2E">
      <w:pPr>
        <w:jc w:val="both"/>
      </w:pPr>
      <w:r>
        <w:t>C) Le rang du droit dérivé unilatéral</w:t>
      </w:r>
    </w:p>
    <w:p w:rsidR="00AF5C2E" w:rsidRDefault="00AF5C2E" w:rsidP="00AF5C2E">
      <w:pPr>
        <w:tabs>
          <w:tab w:val="left" w:pos="709"/>
        </w:tabs>
        <w:jc w:val="both"/>
      </w:pPr>
    </w:p>
    <w:p w:rsidR="00AF5C2E" w:rsidRPr="003C2C94" w:rsidRDefault="00AF5C2E" w:rsidP="00AF5C2E">
      <w:pPr>
        <w:tabs>
          <w:tab w:val="left" w:pos="709"/>
        </w:tabs>
        <w:jc w:val="both"/>
      </w:pPr>
    </w:p>
    <w:p w:rsidR="00AF5C2E" w:rsidRDefault="00AF5C2E" w:rsidP="00AF5C2E">
      <w:pPr>
        <w:pStyle w:val="TM2"/>
      </w:pPr>
    </w:p>
    <w:p w:rsidR="00AF5C2E" w:rsidRDefault="00AF5C2E" w:rsidP="00AF5C2E"/>
    <w:p w:rsidR="00AF5C2E" w:rsidRPr="000D5168" w:rsidRDefault="00AF5C2E" w:rsidP="00AF5C2E"/>
    <w:p w:rsidR="00AF5C2E" w:rsidRPr="00BC371E" w:rsidRDefault="00AF5C2E" w:rsidP="00AF5C2E">
      <w:pPr>
        <w:pStyle w:val="TM2"/>
      </w:pPr>
      <w:r>
        <w:lastRenderedPageBreak/>
        <w:tab/>
      </w:r>
      <w:r>
        <w:tab/>
      </w:r>
      <w:r w:rsidRPr="00D20F3E">
        <w:rPr>
          <w:u w:val="single"/>
        </w:rPr>
        <w:t>Section II</w:t>
      </w:r>
      <w:r w:rsidRPr="00BC371E">
        <w:t> : Les rapports avec les droits nationaux</w:t>
      </w:r>
    </w:p>
    <w:p w:rsidR="00AF5C2E" w:rsidRDefault="00AF5C2E" w:rsidP="00AF5C2E">
      <w:pPr>
        <w:pStyle w:val="TM3"/>
      </w:pPr>
      <w:r>
        <w:tab/>
      </w:r>
      <w:r w:rsidRPr="00D20F3E">
        <w:rPr>
          <w:u w:val="single"/>
        </w:rPr>
        <w:t>§ 1</w:t>
      </w:r>
      <w:r>
        <w:t> : L’applicabilité immédiate du droit de l’UE</w:t>
      </w:r>
    </w:p>
    <w:p w:rsidR="00AF5C2E" w:rsidRDefault="00AF5C2E" w:rsidP="00AF5C2E">
      <w:pPr>
        <w:pStyle w:val="TM3"/>
      </w:pPr>
      <w:r>
        <w:tab/>
      </w:r>
      <w:r w:rsidRPr="00D20F3E">
        <w:rPr>
          <w:u w:val="single"/>
        </w:rPr>
        <w:t>§ 2</w:t>
      </w:r>
      <w:r>
        <w:t> : La primauté du droit de l’Union</w:t>
      </w:r>
    </w:p>
    <w:p w:rsidR="00AF5C2E" w:rsidRPr="00F31F61" w:rsidRDefault="00AF5C2E" w:rsidP="00AF5C2E">
      <w:pPr>
        <w:pStyle w:val="TM3"/>
        <w:rPr>
          <w:rFonts w:eastAsia="Times New Roman"/>
        </w:rPr>
      </w:pPr>
      <w:r>
        <w:t>A</w:t>
      </w:r>
      <w:r w:rsidRPr="00F31F61">
        <w:t>)</w:t>
      </w:r>
      <w:r w:rsidRPr="00F31F61">
        <w:rPr>
          <w:rFonts w:eastAsia="Times New Roman"/>
        </w:rPr>
        <w:t xml:space="preserve"> </w:t>
      </w:r>
      <w:r w:rsidRPr="00F31F61">
        <w:t xml:space="preserve">L’affirmation de la primauté </w:t>
      </w:r>
      <w:r>
        <w:t>dans l’UE</w:t>
      </w:r>
    </w:p>
    <w:p w:rsidR="00AF5C2E" w:rsidRPr="00CE6AD8" w:rsidRDefault="00AF5C2E" w:rsidP="00AF5C2E">
      <w:pPr>
        <w:pStyle w:val="TM4"/>
        <w:rPr>
          <w:rFonts w:eastAsia="Times New Roman"/>
        </w:rPr>
      </w:pPr>
      <w:r>
        <w:tab/>
        <w:t>1.</w:t>
      </w:r>
      <w:r w:rsidRPr="00CE6AD8">
        <w:rPr>
          <w:rFonts w:eastAsia="Times New Roman"/>
        </w:rPr>
        <w:t xml:space="preserve"> </w:t>
      </w:r>
      <w:r w:rsidRPr="00CE6AD8">
        <w:t>Le fondement de la primauté</w:t>
      </w:r>
    </w:p>
    <w:p w:rsidR="00AF5C2E" w:rsidRPr="00CE6AD8" w:rsidRDefault="00AF5C2E" w:rsidP="00AF5C2E">
      <w:pPr>
        <w:pStyle w:val="TM5"/>
        <w:tabs>
          <w:tab w:val="left" w:pos="709"/>
        </w:tabs>
        <w:jc w:val="both"/>
        <w:rPr>
          <w:rFonts w:eastAsia="Times New Roman"/>
        </w:rPr>
      </w:pPr>
      <w:r>
        <w:tab/>
        <w:t>a)</w:t>
      </w:r>
      <w:r w:rsidRPr="00CE6AD8">
        <w:t xml:space="preserve"> La reconnaissance par </w:t>
      </w:r>
      <w:smartTag w:uri="urn:schemas-microsoft-com:office:smarttags" w:element="PersonName">
        <w:smartTagPr>
          <w:attr w:name="ProductID" w:val="la Cour"/>
        </w:smartTagPr>
        <w:r w:rsidRPr="00CE6AD8">
          <w:t>l</w:t>
        </w:r>
        <w:r>
          <w:t>a Cour</w:t>
        </w:r>
      </w:smartTag>
      <w:r>
        <w:t xml:space="preserve"> de justice</w:t>
      </w:r>
    </w:p>
    <w:p w:rsidR="00AF5C2E" w:rsidRPr="00CE6AD8" w:rsidRDefault="00AF5C2E" w:rsidP="00AF5C2E">
      <w:pPr>
        <w:pStyle w:val="TM5"/>
        <w:tabs>
          <w:tab w:val="left" w:pos="709"/>
        </w:tabs>
        <w:jc w:val="both"/>
        <w:rPr>
          <w:rFonts w:eastAsia="Times New Roman"/>
        </w:rPr>
      </w:pPr>
      <w:r>
        <w:tab/>
        <w:t>b)</w:t>
      </w:r>
      <w:r w:rsidRPr="00CE6AD8">
        <w:t xml:space="preserve"> La primauté dans les traités européens</w:t>
      </w:r>
    </w:p>
    <w:p w:rsidR="00AF5C2E" w:rsidRPr="00CE6AD8" w:rsidRDefault="00AF5C2E" w:rsidP="00AF5C2E">
      <w:pPr>
        <w:pStyle w:val="TM4"/>
        <w:rPr>
          <w:rFonts w:eastAsia="Times New Roman"/>
        </w:rPr>
      </w:pPr>
      <w:r>
        <w:tab/>
        <w:t>2.</w:t>
      </w:r>
      <w:r w:rsidRPr="00CE6AD8">
        <w:rPr>
          <w:rFonts w:eastAsia="Times New Roman"/>
        </w:rPr>
        <w:t xml:space="preserve"> </w:t>
      </w:r>
      <w:r w:rsidRPr="00CE6AD8">
        <w:t xml:space="preserve">La signification de la primauté du droit </w:t>
      </w:r>
      <w:r>
        <w:t>de l’Union</w:t>
      </w:r>
    </w:p>
    <w:p w:rsidR="00AF5C2E" w:rsidRPr="00CE6AD8" w:rsidRDefault="00AF5C2E" w:rsidP="00AF5C2E">
      <w:pPr>
        <w:pStyle w:val="TM5"/>
        <w:tabs>
          <w:tab w:val="left" w:pos="709"/>
        </w:tabs>
        <w:jc w:val="both"/>
        <w:rPr>
          <w:rFonts w:eastAsia="Times New Roman"/>
        </w:rPr>
      </w:pPr>
      <w:r>
        <w:rPr>
          <w:rStyle w:val="Lienhypertexte"/>
          <w:color w:val="000000"/>
          <w:u w:val="none"/>
        </w:rPr>
        <w:tab/>
        <w:t>a)</w:t>
      </w:r>
      <w:r w:rsidRPr="007763C7">
        <w:rPr>
          <w:rStyle w:val="Lienhypertexte"/>
          <w:color w:val="000000"/>
          <w:u w:val="none"/>
        </w:rPr>
        <w:t xml:space="preserve"> </w:t>
      </w:r>
      <w:r w:rsidRPr="00CE6AD8">
        <w:t>L’étendue de la primauté (une primauté absolue)</w:t>
      </w:r>
    </w:p>
    <w:p w:rsidR="00AF5C2E" w:rsidRPr="00CE6AD8" w:rsidRDefault="00AF5C2E" w:rsidP="00AF5C2E">
      <w:pPr>
        <w:pStyle w:val="TM5"/>
        <w:tabs>
          <w:tab w:val="left" w:pos="709"/>
        </w:tabs>
        <w:jc w:val="both"/>
        <w:rPr>
          <w:rFonts w:eastAsia="Times New Roman"/>
        </w:rPr>
      </w:pPr>
      <w:r>
        <w:rPr>
          <w:rFonts w:eastAsia="Times New Roman"/>
        </w:rPr>
        <w:tab/>
        <w:t>b)</w:t>
      </w:r>
      <w:r w:rsidRPr="00CE6AD8">
        <w:rPr>
          <w:rFonts w:eastAsia="Times New Roman"/>
        </w:rPr>
        <w:t xml:space="preserve"> </w:t>
      </w:r>
      <w:r w:rsidRPr="00CE6AD8">
        <w:t>Les implications de la primauté dans les droits nationaux</w:t>
      </w:r>
      <w:r w:rsidRPr="007763C7">
        <w:rPr>
          <w:rStyle w:val="Lienhypertexte"/>
          <w:color w:val="000000"/>
          <w:u w:val="none"/>
        </w:rPr>
        <w:t xml:space="preserve"> (une primauté pénétrante)</w:t>
      </w:r>
    </w:p>
    <w:p w:rsidR="00AF5C2E" w:rsidRPr="008E32AF" w:rsidRDefault="00AF5C2E" w:rsidP="00AF5C2E">
      <w:pPr>
        <w:pStyle w:val="TM6"/>
      </w:pPr>
      <w:r w:rsidRPr="008E32AF">
        <w:t>i)</w:t>
      </w:r>
      <w:r>
        <w:t xml:space="preserve"> Les obligations pour les autorités publiques</w:t>
      </w:r>
    </w:p>
    <w:p w:rsidR="00AF5C2E" w:rsidRPr="00CE6AD8" w:rsidRDefault="00AF5C2E" w:rsidP="00AF5C2E">
      <w:pPr>
        <w:pStyle w:val="TM6"/>
        <w:rPr>
          <w:rFonts w:eastAsia="Times New Roman"/>
          <w:noProof/>
        </w:rPr>
      </w:pPr>
      <w:r>
        <w:rPr>
          <w:noProof/>
        </w:rPr>
        <w:t>ii</w:t>
      </w:r>
      <w:r w:rsidRPr="00CE6AD8">
        <w:rPr>
          <w:noProof/>
        </w:rPr>
        <w:t>)</w:t>
      </w:r>
      <w:r w:rsidRPr="00CE6AD8">
        <w:rPr>
          <w:rFonts w:eastAsia="Times New Roman"/>
          <w:noProof/>
        </w:rPr>
        <w:t xml:space="preserve"> </w:t>
      </w:r>
      <w:r w:rsidRPr="00CE6AD8">
        <w:rPr>
          <w:noProof/>
        </w:rPr>
        <w:t>Les effets sur les normes nationales</w:t>
      </w:r>
    </w:p>
    <w:p w:rsidR="00AF5C2E" w:rsidRPr="0065226B" w:rsidRDefault="00AF5C2E" w:rsidP="00AF5C2E">
      <w:pPr>
        <w:pStyle w:val="TM7"/>
      </w:pPr>
      <w:r w:rsidRPr="0065226B">
        <w:t>- L’inapplicabilité pour les normes antérieures</w:t>
      </w:r>
      <w:r w:rsidRPr="0065226B">
        <w:rPr>
          <w:rStyle w:val="Lienhypertexte"/>
          <w:u w:val="none"/>
        </w:rPr>
        <w:t xml:space="preserve"> </w:t>
      </w:r>
      <w:r w:rsidRPr="0065226B">
        <w:rPr>
          <w:rStyle w:val="Lienhypertexte"/>
          <w:color w:val="000000"/>
          <w:u w:val="none"/>
        </w:rPr>
        <w:t>devenues contraires </w:t>
      </w:r>
      <w:r w:rsidRPr="0065226B">
        <w:t>;- L’effet bloquant la formation valable de normes nationales postérieures contraires</w:t>
      </w:r>
    </w:p>
    <w:p w:rsidR="00AF5C2E" w:rsidRPr="003E702D" w:rsidRDefault="00AF5C2E" w:rsidP="00AF5C2E">
      <w:pPr>
        <w:pStyle w:val="TM3"/>
        <w:rPr>
          <w:rFonts w:eastAsia="Times New Roman"/>
        </w:rPr>
      </w:pPr>
      <w:r>
        <w:t>B</w:t>
      </w:r>
      <w:r w:rsidRPr="003E702D">
        <w:t>)</w:t>
      </w:r>
      <w:r w:rsidRPr="003E702D">
        <w:rPr>
          <w:rFonts w:eastAsia="Times New Roman"/>
        </w:rPr>
        <w:t xml:space="preserve"> </w:t>
      </w:r>
      <w:r w:rsidRPr="003E702D">
        <w:t>L’acceptation de la primauté en droit français</w:t>
      </w:r>
    </w:p>
    <w:p w:rsidR="00AF5C2E" w:rsidRPr="00CE6AD8" w:rsidRDefault="00AF5C2E" w:rsidP="00AF5C2E">
      <w:pPr>
        <w:pStyle w:val="TM4"/>
        <w:rPr>
          <w:rFonts w:eastAsia="Times New Roman"/>
        </w:rPr>
      </w:pPr>
      <w:r>
        <w:tab/>
        <w:t>1.</w:t>
      </w:r>
      <w:r w:rsidRPr="00CE6AD8">
        <w:rPr>
          <w:rFonts w:eastAsia="Times New Roman"/>
        </w:rPr>
        <w:t xml:space="preserve"> </w:t>
      </w:r>
      <w:r w:rsidRPr="00CE6AD8">
        <w:t>Le régime des normes législatives</w:t>
      </w:r>
    </w:p>
    <w:p w:rsidR="00AF5C2E" w:rsidRPr="00CE6AD8" w:rsidRDefault="00AF5C2E" w:rsidP="00AF5C2E">
      <w:pPr>
        <w:pStyle w:val="TM6"/>
        <w:rPr>
          <w:rFonts w:eastAsia="Times New Roman"/>
          <w:noProof/>
        </w:rPr>
      </w:pPr>
      <w:r>
        <w:rPr>
          <w:noProof/>
        </w:rPr>
        <w:tab/>
        <w:t>a</w:t>
      </w:r>
      <w:r>
        <w:rPr>
          <w:rFonts w:eastAsia="Times New Roman"/>
          <w:noProof/>
        </w:rPr>
        <w:t>)</w:t>
      </w:r>
      <w:r w:rsidRPr="00CE6AD8">
        <w:rPr>
          <w:rFonts w:eastAsia="Times New Roman"/>
          <w:noProof/>
        </w:rPr>
        <w:t xml:space="preserve"> </w:t>
      </w:r>
      <w:r w:rsidRPr="00CE6AD8">
        <w:rPr>
          <w:noProof/>
        </w:rPr>
        <w:t>Le régime général des lois : supériorité des traités sur les lois contraires</w:t>
      </w:r>
    </w:p>
    <w:p w:rsidR="00AF5C2E" w:rsidRPr="00CE6AD8" w:rsidRDefault="00AF5C2E" w:rsidP="00AF5C2E">
      <w:pPr>
        <w:pStyle w:val="TM6"/>
        <w:rPr>
          <w:rFonts w:eastAsia="Times New Roman"/>
          <w:noProof/>
        </w:rPr>
      </w:pPr>
      <w:r>
        <w:rPr>
          <w:noProof/>
        </w:rPr>
        <w:tab/>
        <w:t>b)</w:t>
      </w:r>
      <w:r w:rsidRPr="00CE6AD8">
        <w:rPr>
          <w:rFonts w:eastAsia="Times New Roman"/>
          <w:noProof/>
        </w:rPr>
        <w:t xml:space="preserve"> </w:t>
      </w:r>
      <w:r w:rsidRPr="00CE6AD8">
        <w:rPr>
          <w:noProof/>
        </w:rPr>
        <w:t>Le régime spécifique des lois de transposition des directives</w:t>
      </w:r>
    </w:p>
    <w:p w:rsidR="00AF5C2E" w:rsidRPr="00F921EE" w:rsidRDefault="00AF5C2E" w:rsidP="00AF5C2E">
      <w:pPr>
        <w:pStyle w:val="TM7"/>
      </w:pPr>
      <w:r w:rsidRPr="00F921EE">
        <w:t>i) Le contrôle de constitutionnalité des lois de transposition avec les normes françaises</w:t>
      </w:r>
    </w:p>
    <w:p w:rsidR="00AF5C2E" w:rsidRDefault="00AF5C2E" w:rsidP="00AF5C2E">
      <w:pPr>
        <w:pStyle w:val="TM7"/>
      </w:pPr>
      <w:r w:rsidRPr="00F921EE">
        <w:t>ii) Le contrôle de la compatibilité des lois de transposition avec les directives</w:t>
      </w:r>
    </w:p>
    <w:p w:rsidR="00AF5C2E" w:rsidRPr="00B276ED" w:rsidRDefault="00AF5C2E" w:rsidP="00AF5C2E">
      <w:pPr>
        <w:rPr>
          <w:sz w:val="20"/>
        </w:rPr>
      </w:pPr>
      <w:r>
        <w:tab/>
      </w:r>
      <w:r w:rsidRPr="00B276ED">
        <w:rPr>
          <w:sz w:val="20"/>
        </w:rPr>
        <w:t>c)</w:t>
      </w:r>
      <w:r>
        <w:rPr>
          <w:sz w:val="20"/>
        </w:rPr>
        <w:t xml:space="preserve"> La primauté et la QPC</w:t>
      </w:r>
    </w:p>
    <w:p w:rsidR="00AF5C2E" w:rsidRPr="00097F5F" w:rsidRDefault="00AF5C2E" w:rsidP="00AF5C2E">
      <w:pPr>
        <w:pStyle w:val="TM7"/>
      </w:pPr>
      <w:r>
        <w:tab/>
        <w:t>2.</w:t>
      </w:r>
      <w:r w:rsidRPr="00097F5F">
        <w:t xml:space="preserve"> Le </w:t>
      </w:r>
      <w:r>
        <w:t>statut</w:t>
      </w:r>
      <w:r w:rsidRPr="00097F5F">
        <w:t xml:space="preserve"> des normes constitutionnelles</w:t>
      </w:r>
    </w:p>
    <w:p w:rsidR="00AF5C2E" w:rsidRPr="00E77F06" w:rsidRDefault="00AF5C2E" w:rsidP="00AF5C2E">
      <w:pPr>
        <w:tabs>
          <w:tab w:val="left" w:pos="709"/>
        </w:tabs>
        <w:spacing w:before="100" w:beforeAutospacing="1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§</w:t>
      </w:r>
      <w:r w:rsidRPr="008D3CF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</w:t>
      </w:r>
      <w:r w:rsidRPr="00E77F06">
        <w:rPr>
          <w:sz w:val="24"/>
          <w:szCs w:val="24"/>
        </w:rPr>
        <w:t xml:space="preserve"> : L’effet direct du droit </w:t>
      </w:r>
      <w:r>
        <w:rPr>
          <w:sz w:val="24"/>
          <w:szCs w:val="24"/>
        </w:rPr>
        <w:t>de l’UE</w:t>
      </w:r>
    </w:p>
    <w:p w:rsidR="00AF5C2E" w:rsidRPr="001B58CC" w:rsidRDefault="00AF5C2E" w:rsidP="00AF5C2E">
      <w:pPr>
        <w:tabs>
          <w:tab w:val="left" w:pos="709"/>
        </w:tabs>
        <w:spacing w:before="100" w:beforeAutospacing="1" w:after="120"/>
        <w:jc w:val="both"/>
        <w:rPr>
          <w:sz w:val="24"/>
          <w:szCs w:val="20"/>
        </w:rPr>
      </w:pPr>
      <w:r>
        <w:rPr>
          <w:sz w:val="24"/>
          <w:szCs w:val="20"/>
        </w:rPr>
        <w:t>A</w:t>
      </w:r>
      <w:r w:rsidRPr="001B58CC">
        <w:rPr>
          <w:sz w:val="24"/>
          <w:szCs w:val="20"/>
        </w:rPr>
        <w:t>) La signification de l’effet direct</w:t>
      </w:r>
    </w:p>
    <w:p w:rsidR="00AF5C2E" w:rsidRPr="002350CB" w:rsidRDefault="00AF5C2E" w:rsidP="00AF5C2E">
      <w:pPr>
        <w:tabs>
          <w:tab w:val="left" w:pos="709"/>
        </w:tabs>
        <w:spacing w:before="100" w:beforeAutospacing="1"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 </w:t>
      </w:r>
      <w:r w:rsidRPr="002350CB">
        <w:rPr>
          <w:sz w:val="20"/>
          <w:szCs w:val="20"/>
        </w:rPr>
        <w:t>La consécration jurisprudentielle de l’effet direct</w:t>
      </w:r>
    </w:p>
    <w:p w:rsidR="00AF5C2E" w:rsidRDefault="00AF5C2E" w:rsidP="00AF5C2E">
      <w:pPr>
        <w:tabs>
          <w:tab w:val="left" w:pos="709"/>
        </w:tabs>
        <w:spacing w:before="100" w:beforeAutospacing="1"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2. Les conditions de l’effet direct</w:t>
      </w:r>
    </w:p>
    <w:p w:rsidR="00AF5C2E" w:rsidRDefault="00AF5C2E" w:rsidP="00AF5C2E">
      <w:pPr>
        <w:tabs>
          <w:tab w:val="left" w:pos="709"/>
        </w:tabs>
        <w:spacing w:before="100" w:beforeAutospacing="1"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3. L’intensité de l’effet direct</w:t>
      </w:r>
    </w:p>
    <w:p w:rsidR="000D627A" w:rsidRPr="00AF5C2E" w:rsidRDefault="00AF5C2E" w:rsidP="00AF5C2E">
      <w:pPr>
        <w:tabs>
          <w:tab w:val="left" w:pos="709"/>
        </w:tabs>
        <w:spacing w:before="100" w:beforeAutospacing="1" w:after="120"/>
        <w:jc w:val="both"/>
        <w:rPr>
          <w:sz w:val="24"/>
          <w:szCs w:val="20"/>
        </w:rPr>
      </w:pPr>
      <w:r>
        <w:rPr>
          <w:sz w:val="24"/>
          <w:szCs w:val="20"/>
        </w:rPr>
        <w:t>B</w:t>
      </w:r>
      <w:r w:rsidRPr="001B58CC">
        <w:rPr>
          <w:sz w:val="24"/>
          <w:szCs w:val="20"/>
        </w:rPr>
        <w:t>) Le champ de l’effet direct</w:t>
      </w:r>
      <w:r w:rsidR="004562C9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4AB09D1" wp14:editId="20A4636E">
            <wp:simplePos x="0" y="0"/>
            <wp:positionH relativeFrom="column">
              <wp:posOffset>2517775</wp:posOffset>
            </wp:positionH>
            <wp:positionV relativeFrom="paragraph">
              <wp:posOffset>4831080</wp:posOffset>
            </wp:positionV>
            <wp:extent cx="2533650" cy="1038225"/>
            <wp:effectExtent l="0" t="0" r="0" b="9525"/>
            <wp:wrapNone/>
            <wp:docPr id="4" name="Image 4" descr="C:\Users\OLIVIER\Documents\JPEG CMJN 300 dpi\JPEG CMJN 300 dpi\Universite Bordeaux CMJ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OLIVIER\Documents\JPEG CMJN 300 dpi\JPEG CMJN 300 dpi\Universite Bordeaux CMJN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2C9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D8737E5" wp14:editId="27782A3A">
            <wp:simplePos x="0" y="0"/>
            <wp:positionH relativeFrom="column">
              <wp:posOffset>2517775</wp:posOffset>
            </wp:positionH>
            <wp:positionV relativeFrom="paragraph">
              <wp:posOffset>4831080</wp:posOffset>
            </wp:positionV>
            <wp:extent cx="2533650" cy="1038225"/>
            <wp:effectExtent l="0" t="0" r="0" b="9525"/>
            <wp:wrapNone/>
            <wp:docPr id="3" name="Image 3" descr="C:\Users\OLIVIER\Documents\JPEG CMJN 300 dpi\JPEG CMJN 300 dpi\Universite Bordeaux CMJ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OLIVIER\Documents\JPEG CMJN 300 dpi\JPEG CMJN 300 dpi\Universite Bordeaux CMJN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2C9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7F8CB56" wp14:editId="2E9D7B09">
            <wp:simplePos x="0" y="0"/>
            <wp:positionH relativeFrom="column">
              <wp:posOffset>2517775</wp:posOffset>
            </wp:positionH>
            <wp:positionV relativeFrom="paragraph">
              <wp:posOffset>4831080</wp:posOffset>
            </wp:positionV>
            <wp:extent cx="2533650" cy="1038225"/>
            <wp:effectExtent l="0" t="0" r="0" b="9525"/>
            <wp:wrapNone/>
            <wp:docPr id="2" name="Image 2" descr="C:\Users\OLIVIER\Documents\JPEG CMJN 300 dpi\JPEG CMJN 300 dpi\Universite Bordeaux CMJ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OLIVIER\Documents\JPEG CMJN 300 dpi\JPEG CMJN 300 dpi\Universite Bordeaux CMJN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2C9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A85C51C" wp14:editId="28E7AFE5">
            <wp:simplePos x="0" y="0"/>
            <wp:positionH relativeFrom="column">
              <wp:posOffset>2517775</wp:posOffset>
            </wp:positionH>
            <wp:positionV relativeFrom="paragraph">
              <wp:posOffset>4831080</wp:posOffset>
            </wp:positionV>
            <wp:extent cx="2533650" cy="1038225"/>
            <wp:effectExtent l="0" t="0" r="0" b="9525"/>
            <wp:wrapNone/>
            <wp:docPr id="1" name="Image 1" descr="C:\Users\OLIVIER\Documents\JPEG CMJN 300 dpi\JPEG CMJN 300 dpi\Universite Bordeaux CMJ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OLIVIER\Documents\JPEG CMJN 300 dpi\JPEG CMJN 300 dpi\Universite Bordeaux CMJN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627A" w:rsidRPr="00AF5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E24FC"/>
    <w:multiLevelType w:val="hybridMultilevel"/>
    <w:tmpl w:val="F4420AFE"/>
    <w:lvl w:ilvl="0" w:tplc="5212E73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C9"/>
    <w:rsid w:val="00151934"/>
    <w:rsid w:val="003628E9"/>
    <w:rsid w:val="00376E6D"/>
    <w:rsid w:val="004562C9"/>
    <w:rsid w:val="004D6433"/>
    <w:rsid w:val="005202AC"/>
    <w:rsid w:val="005C010F"/>
    <w:rsid w:val="00742492"/>
    <w:rsid w:val="008B4D5A"/>
    <w:rsid w:val="00AF5C2E"/>
    <w:rsid w:val="00F9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29524E6-FFB4-478A-B4A1-4CEA95A1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2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5C2E"/>
    <w:rPr>
      <w:color w:val="0000FF"/>
      <w:u w:val="single"/>
    </w:rPr>
  </w:style>
  <w:style w:type="paragraph" w:styleId="TM1">
    <w:name w:val="toc 1"/>
    <w:basedOn w:val="Normal"/>
    <w:next w:val="Normal"/>
    <w:autoRedefine/>
    <w:rsid w:val="00AF5C2E"/>
    <w:pPr>
      <w:tabs>
        <w:tab w:val="right" w:leader="dot" w:pos="9062"/>
      </w:tabs>
      <w:jc w:val="both"/>
    </w:pPr>
    <w:rPr>
      <w:rFonts w:ascii="Calibri" w:eastAsia="Calibri" w:hAnsi="Calibri" w:cs="Times New Roman"/>
      <w:b/>
      <w:noProof/>
      <w:color w:val="000000"/>
      <w:sz w:val="24"/>
      <w:szCs w:val="24"/>
    </w:rPr>
  </w:style>
  <w:style w:type="paragraph" w:styleId="TM2">
    <w:name w:val="toc 2"/>
    <w:basedOn w:val="Normal"/>
    <w:next w:val="Normal"/>
    <w:autoRedefine/>
    <w:rsid w:val="00AF5C2E"/>
    <w:pPr>
      <w:tabs>
        <w:tab w:val="left" w:pos="709"/>
        <w:tab w:val="left" w:pos="1320"/>
        <w:tab w:val="right" w:leader="dot" w:pos="9062"/>
      </w:tabs>
      <w:jc w:val="both"/>
    </w:pPr>
    <w:rPr>
      <w:rFonts w:ascii="Calibri" w:eastAsia="Calibri" w:hAnsi="Calibri" w:cs="Times New Roman"/>
      <w:b/>
      <w:noProof/>
      <w:sz w:val="24"/>
      <w:szCs w:val="24"/>
    </w:rPr>
  </w:style>
  <w:style w:type="paragraph" w:styleId="TM3">
    <w:name w:val="toc 3"/>
    <w:basedOn w:val="Normal"/>
    <w:next w:val="Normal"/>
    <w:autoRedefine/>
    <w:rsid w:val="00AF5C2E"/>
    <w:pPr>
      <w:tabs>
        <w:tab w:val="left" w:pos="709"/>
        <w:tab w:val="left" w:pos="1100"/>
        <w:tab w:val="right" w:leader="dot" w:pos="9062"/>
      </w:tabs>
      <w:jc w:val="both"/>
    </w:pPr>
    <w:rPr>
      <w:rFonts w:ascii="Calibri" w:eastAsia="Calibri" w:hAnsi="Calibri" w:cs="Times New Roman"/>
      <w:noProof/>
      <w:color w:val="000000"/>
      <w:sz w:val="24"/>
      <w:szCs w:val="24"/>
    </w:rPr>
  </w:style>
  <w:style w:type="paragraph" w:styleId="TM4">
    <w:name w:val="toc 4"/>
    <w:basedOn w:val="Normal"/>
    <w:next w:val="Normal"/>
    <w:autoRedefine/>
    <w:rsid w:val="00AF5C2E"/>
    <w:pPr>
      <w:tabs>
        <w:tab w:val="left" w:pos="709"/>
        <w:tab w:val="left" w:pos="1100"/>
        <w:tab w:val="right" w:leader="dot" w:pos="9062"/>
      </w:tabs>
      <w:jc w:val="both"/>
    </w:pPr>
    <w:rPr>
      <w:rFonts w:ascii="Calibri" w:eastAsia="Calibri" w:hAnsi="Calibri" w:cs="Times New Roman"/>
      <w:noProof/>
      <w:sz w:val="24"/>
      <w:szCs w:val="20"/>
    </w:rPr>
  </w:style>
  <w:style w:type="paragraph" w:styleId="TM5">
    <w:name w:val="toc 5"/>
    <w:basedOn w:val="Normal"/>
    <w:next w:val="Normal"/>
    <w:autoRedefine/>
    <w:rsid w:val="00AF5C2E"/>
    <w:pPr>
      <w:tabs>
        <w:tab w:val="left" w:pos="1320"/>
        <w:tab w:val="right" w:leader="dot" w:pos="9062"/>
      </w:tabs>
    </w:pPr>
    <w:rPr>
      <w:rFonts w:ascii="Calibri" w:eastAsia="Calibri" w:hAnsi="Calibri" w:cs="Times New Roman"/>
      <w:noProof/>
      <w:sz w:val="20"/>
      <w:szCs w:val="20"/>
    </w:rPr>
  </w:style>
  <w:style w:type="paragraph" w:styleId="TM6">
    <w:name w:val="toc 6"/>
    <w:basedOn w:val="Normal"/>
    <w:next w:val="Normal"/>
    <w:autoRedefine/>
    <w:rsid w:val="00AF5C2E"/>
    <w:pPr>
      <w:tabs>
        <w:tab w:val="left" w:pos="709"/>
        <w:tab w:val="left" w:pos="1540"/>
        <w:tab w:val="right" w:leader="dot" w:pos="9062"/>
      </w:tabs>
      <w:jc w:val="both"/>
    </w:pPr>
    <w:rPr>
      <w:rFonts w:ascii="Calibri" w:eastAsia="Calibri" w:hAnsi="Calibri" w:cs="Times New Roman"/>
      <w:sz w:val="20"/>
    </w:rPr>
  </w:style>
  <w:style w:type="paragraph" w:styleId="TM7">
    <w:name w:val="toc 7"/>
    <w:basedOn w:val="Normal"/>
    <w:next w:val="Normal"/>
    <w:autoRedefine/>
    <w:rsid w:val="00AF5C2E"/>
    <w:pPr>
      <w:tabs>
        <w:tab w:val="left" w:pos="709"/>
        <w:tab w:val="left" w:pos="1760"/>
        <w:tab w:val="right" w:leader="dot" w:pos="9062"/>
      </w:tabs>
      <w:jc w:val="both"/>
    </w:pPr>
    <w:rPr>
      <w:rFonts w:ascii="Calibri" w:eastAsia="Times New Roman" w:hAnsi="Calibri" w:cs="Times New Roman"/>
      <w:noProof/>
      <w:sz w:val="18"/>
      <w:szCs w:val="20"/>
    </w:rPr>
  </w:style>
  <w:style w:type="character" w:customStyle="1" w:styleId="TitreCar">
    <w:name w:val="Titre Car"/>
    <w:link w:val="Titre"/>
    <w:locked/>
    <w:rsid w:val="00AF5C2E"/>
    <w:rPr>
      <w:rFonts w:ascii="Cambria" w:hAnsi="Cambria"/>
      <w:color w:val="17365D"/>
      <w:spacing w:val="5"/>
      <w:kern w:val="28"/>
      <w:sz w:val="52"/>
      <w:szCs w:val="52"/>
    </w:rPr>
  </w:style>
  <w:style w:type="paragraph" w:styleId="Titre">
    <w:name w:val="Title"/>
    <w:basedOn w:val="Normal"/>
    <w:next w:val="Normal"/>
    <w:link w:val="TitreCar"/>
    <w:qFormat/>
    <w:rsid w:val="00AF5C2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1">
    <w:name w:val="Titre Car1"/>
    <w:basedOn w:val="Policepardfaut"/>
    <w:uiPriority w:val="10"/>
    <w:rsid w:val="00AF5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Francette</dc:creator>
  <cp:lastModifiedBy>Francette Fines</cp:lastModifiedBy>
  <cp:revision>2</cp:revision>
  <dcterms:created xsi:type="dcterms:W3CDTF">2015-01-25T22:32:00Z</dcterms:created>
  <dcterms:modified xsi:type="dcterms:W3CDTF">2015-01-25T22:32:00Z</dcterms:modified>
</cp:coreProperties>
</file>