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4F" w:rsidRDefault="0021264F" w:rsidP="0021264F">
      <w:pPr>
        <w:pStyle w:val="Titre"/>
        <w:jc w:val="center"/>
        <w:rPr>
          <w:sz w:val="72"/>
          <w:szCs w:val="72"/>
        </w:rPr>
      </w:pPr>
      <w:r w:rsidRPr="0012747C">
        <w:rPr>
          <w:sz w:val="72"/>
          <w:szCs w:val="72"/>
        </w:rPr>
        <w:t xml:space="preserve">   Droit communautaire </w:t>
      </w:r>
    </w:p>
    <w:p w:rsidR="0021264F" w:rsidRPr="0012747C" w:rsidRDefault="0021264F" w:rsidP="0021264F">
      <w:pPr>
        <w:pStyle w:val="Titre"/>
        <w:jc w:val="center"/>
        <w:rPr>
          <w:sz w:val="72"/>
          <w:szCs w:val="72"/>
        </w:rPr>
      </w:pPr>
      <w:proofErr w:type="gramStart"/>
      <w:r w:rsidRPr="0012747C">
        <w:rPr>
          <w:sz w:val="72"/>
          <w:szCs w:val="72"/>
        </w:rPr>
        <w:t>et</w:t>
      </w:r>
      <w:proofErr w:type="gramEnd"/>
      <w:r w:rsidRPr="0012747C">
        <w:rPr>
          <w:sz w:val="72"/>
          <w:szCs w:val="72"/>
        </w:rPr>
        <w:t xml:space="preserve"> européen</w:t>
      </w:r>
    </w:p>
    <w:p w:rsidR="0021264F" w:rsidRDefault="0021264F" w:rsidP="0021264F">
      <w:pPr>
        <w:jc w:val="center"/>
      </w:pPr>
      <w:r w:rsidRPr="001F7573">
        <w:rPr>
          <w:i/>
        </w:rPr>
        <w:t>Par</w:t>
      </w:r>
      <w:r>
        <w:t xml:space="preserve"> FRANCETTE FINES</w:t>
      </w:r>
    </w:p>
    <w:p w:rsidR="0021264F" w:rsidRDefault="0021264F" w:rsidP="0021264F">
      <w:pPr>
        <w:pStyle w:val="TM1"/>
      </w:pPr>
    </w:p>
    <w:p w:rsidR="0021264F" w:rsidRPr="006C1BD9" w:rsidRDefault="0021264F" w:rsidP="0021264F">
      <w:pPr>
        <w:pStyle w:val="TM1"/>
      </w:pPr>
      <w:r>
        <w:t xml:space="preserve">                                                                                                                            Année 2014/2015</w:t>
      </w:r>
    </w:p>
    <w:p w:rsidR="0021264F" w:rsidRDefault="0021264F" w:rsidP="0021264F">
      <w:pPr>
        <w:jc w:val="center"/>
        <w:rPr>
          <w:b/>
        </w:rPr>
      </w:pPr>
    </w:p>
    <w:p w:rsidR="0021264F" w:rsidRDefault="0021264F" w:rsidP="0021264F">
      <w:pPr>
        <w:jc w:val="center"/>
        <w:rPr>
          <w:b/>
        </w:rPr>
      </w:pPr>
    </w:p>
    <w:p w:rsidR="0021264F" w:rsidRDefault="0021264F" w:rsidP="0021264F">
      <w:pPr>
        <w:jc w:val="center"/>
        <w:rPr>
          <w:b/>
        </w:rPr>
      </w:pPr>
    </w:p>
    <w:p w:rsidR="0021264F" w:rsidRDefault="0021264F" w:rsidP="00212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BIBLIOGRAPHIE</w:t>
      </w:r>
    </w:p>
    <w:p w:rsidR="0021264F" w:rsidRDefault="0021264F" w:rsidP="0021264F">
      <w:pPr>
        <w:jc w:val="center"/>
        <w:rPr>
          <w:b/>
        </w:rPr>
      </w:pPr>
    </w:p>
    <w:p w:rsidR="0021264F" w:rsidRPr="00E808B6" w:rsidRDefault="0021264F" w:rsidP="0021264F">
      <w:pPr>
        <w:tabs>
          <w:tab w:val="left" w:pos="1540"/>
        </w:tabs>
        <w:spacing w:line="360" w:lineRule="atLeast"/>
        <w:ind w:right="-22"/>
        <w:jc w:val="both"/>
        <w:rPr>
          <w:b/>
          <w:szCs w:val="24"/>
        </w:rPr>
      </w:pPr>
      <w:r w:rsidRPr="00E808B6">
        <w:rPr>
          <w:b/>
          <w:szCs w:val="24"/>
          <w:u w:val="single"/>
        </w:rPr>
        <w:t>Manuels de droit institutionnel de l'Union européenne</w:t>
      </w:r>
    </w:p>
    <w:p w:rsidR="0021264F" w:rsidRDefault="0021264F" w:rsidP="0021264F">
      <w:pPr>
        <w:tabs>
          <w:tab w:val="left" w:pos="1540"/>
        </w:tabs>
        <w:spacing w:line="360" w:lineRule="atLeast"/>
        <w:ind w:left="20" w:right="-22" w:firstLine="280"/>
        <w:jc w:val="both"/>
        <w:rPr>
          <w:sz w:val="20"/>
        </w:rPr>
      </w:pPr>
      <w:r>
        <w:rPr>
          <w:b/>
          <w:sz w:val="20"/>
        </w:rPr>
        <w:t>G. ISAAC et M. BLANQUET</w:t>
      </w:r>
      <w:r w:rsidR="00A276AB">
        <w:rPr>
          <w:sz w:val="20"/>
        </w:rPr>
        <w:t xml:space="preserve">: </w:t>
      </w:r>
      <w:r w:rsidR="00A276AB" w:rsidRPr="00F660F9">
        <w:rPr>
          <w:i/>
          <w:sz w:val="20"/>
        </w:rPr>
        <w:t>« </w:t>
      </w:r>
      <w:r w:rsidRPr="00F660F9">
        <w:rPr>
          <w:i/>
          <w:sz w:val="20"/>
        </w:rPr>
        <w:t>Droit général de l’Union européenne</w:t>
      </w:r>
      <w:r w:rsidR="00A276AB" w:rsidRPr="00F660F9">
        <w:rPr>
          <w:i/>
          <w:sz w:val="20"/>
        </w:rPr>
        <w:t> »</w:t>
      </w:r>
      <w:r>
        <w:rPr>
          <w:sz w:val="20"/>
        </w:rPr>
        <w:t xml:space="preserve">, Sirey, </w:t>
      </w:r>
      <w:r w:rsidR="00EA6A0B">
        <w:rPr>
          <w:sz w:val="20"/>
        </w:rPr>
        <w:t>10</w:t>
      </w:r>
      <w:r w:rsidR="00642550" w:rsidRPr="007752B1">
        <w:rPr>
          <w:sz w:val="20"/>
          <w:vertAlign w:val="superscript"/>
        </w:rPr>
        <w:t>ème</w:t>
      </w:r>
      <w:r w:rsidR="00642550">
        <w:rPr>
          <w:sz w:val="20"/>
        </w:rPr>
        <w:t xml:space="preserve"> </w:t>
      </w:r>
      <w:r w:rsidR="000565BE">
        <w:rPr>
          <w:sz w:val="20"/>
        </w:rPr>
        <w:t xml:space="preserve">éd. </w:t>
      </w:r>
      <w:r>
        <w:rPr>
          <w:sz w:val="20"/>
        </w:rPr>
        <w:t>20</w:t>
      </w:r>
      <w:r w:rsidR="00EA6A0B">
        <w:rPr>
          <w:sz w:val="20"/>
        </w:rPr>
        <w:t>12</w:t>
      </w:r>
    </w:p>
    <w:p w:rsidR="0021264F" w:rsidRDefault="0021264F" w:rsidP="0021264F">
      <w:pPr>
        <w:spacing w:line="360" w:lineRule="atLeast"/>
        <w:ind w:left="20" w:right="-22" w:firstLine="280"/>
        <w:jc w:val="both"/>
        <w:rPr>
          <w:sz w:val="20"/>
        </w:rPr>
      </w:pPr>
      <w:r>
        <w:rPr>
          <w:b/>
          <w:sz w:val="20"/>
        </w:rPr>
        <w:t>C. BLUMANN et L. DUBOUIS</w:t>
      </w:r>
      <w:r w:rsidR="00F660F9">
        <w:rPr>
          <w:sz w:val="20"/>
        </w:rPr>
        <w:t xml:space="preserve">: </w:t>
      </w:r>
      <w:r w:rsidR="00F660F9" w:rsidRPr="00F660F9">
        <w:rPr>
          <w:i/>
          <w:sz w:val="20"/>
        </w:rPr>
        <w:t>« </w:t>
      </w:r>
      <w:r w:rsidRPr="00F660F9">
        <w:rPr>
          <w:i/>
          <w:sz w:val="20"/>
        </w:rPr>
        <w:t>Droit insti</w:t>
      </w:r>
      <w:r w:rsidR="00F660F9" w:rsidRPr="00F660F9">
        <w:rPr>
          <w:i/>
          <w:sz w:val="20"/>
        </w:rPr>
        <w:t>tutionnel de l’Union européenne »</w:t>
      </w:r>
      <w:r w:rsidRPr="00F660F9">
        <w:rPr>
          <w:i/>
          <w:sz w:val="20"/>
        </w:rPr>
        <w:t>,</w:t>
      </w:r>
      <w:r>
        <w:rPr>
          <w:sz w:val="20"/>
        </w:rPr>
        <w:t xml:space="preserve"> Litec, </w:t>
      </w:r>
      <w:r w:rsidR="00FF767B">
        <w:rPr>
          <w:rFonts w:ascii="Times" w:hAnsi="Times" w:cs="Times"/>
          <w:sz w:val="20"/>
        </w:rPr>
        <w:t>5</w:t>
      </w:r>
      <w:r w:rsidR="00642550" w:rsidRPr="007752B1">
        <w:rPr>
          <w:sz w:val="20"/>
          <w:vertAlign w:val="superscript"/>
        </w:rPr>
        <w:t>ème</w:t>
      </w:r>
      <w:r w:rsidR="0025141E">
        <w:rPr>
          <w:rFonts w:ascii="Times" w:hAnsi="Times" w:cs="Times"/>
          <w:sz w:val="20"/>
        </w:rPr>
        <w:t xml:space="preserve"> </w:t>
      </w:r>
      <w:r w:rsidR="000565BE">
        <w:rPr>
          <w:rFonts w:ascii="Times" w:hAnsi="Times" w:cs="Times"/>
          <w:sz w:val="20"/>
        </w:rPr>
        <w:t xml:space="preserve">éd. </w:t>
      </w:r>
      <w:r w:rsidR="00FF767B">
        <w:rPr>
          <w:rFonts w:ascii="Times" w:hAnsi="Times" w:cs="Times"/>
          <w:sz w:val="20"/>
        </w:rPr>
        <w:t>2013</w:t>
      </w:r>
    </w:p>
    <w:p w:rsidR="0021264F" w:rsidRPr="00525FCB" w:rsidRDefault="0021264F" w:rsidP="0021264F">
      <w:pPr>
        <w:tabs>
          <w:tab w:val="left" w:pos="1540"/>
        </w:tabs>
        <w:spacing w:line="360" w:lineRule="atLeast"/>
        <w:ind w:left="20" w:right="-22" w:firstLine="280"/>
        <w:jc w:val="both"/>
        <w:rPr>
          <w:sz w:val="20"/>
        </w:rPr>
      </w:pPr>
      <w:r>
        <w:rPr>
          <w:b/>
          <w:sz w:val="20"/>
        </w:rPr>
        <w:t xml:space="preserve">M. GAUTIER : </w:t>
      </w:r>
      <w:r w:rsidRPr="00F660F9">
        <w:rPr>
          <w:i/>
          <w:sz w:val="20"/>
        </w:rPr>
        <w:t>« Droit institutionnel de l’Union européenne »,</w:t>
      </w:r>
      <w:r w:rsidRPr="00525FCB">
        <w:rPr>
          <w:sz w:val="20"/>
        </w:rPr>
        <w:t xml:space="preserve"> PUF, 2010</w:t>
      </w:r>
    </w:p>
    <w:p w:rsidR="0021264F" w:rsidRPr="00586E67" w:rsidRDefault="0021264F" w:rsidP="0021264F">
      <w:pPr>
        <w:spacing w:line="360" w:lineRule="atLeast"/>
        <w:ind w:left="20" w:right="-22" w:firstLine="280"/>
        <w:jc w:val="both"/>
        <w:rPr>
          <w:sz w:val="20"/>
        </w:rPr>
      </w:pPr>
      <w:r>
        <w:rPr>
          <w:b/>
          <w:sz w:val="20"/>
        </w:rPr>
        <w:t xml:space="preserve">J.-P. JACQUE : </w:t>
      </w:r>
      <w:r w:rsidRPr="00F660F9">
        <w:rPr>
          <w:i/>
          <w:sz w:val="20"/>
        </w:rPr>
        <w:t>« Droit institutionnel de l’Union européenne</w:t>
      </w:r>
      <w:r w:rsidR="00F660F9" w:rsidRPr="00F660F9">
        <w:rPr>
          <w:i/>
          <w:sz w:val="20"/>
        </w:rPr>
        <w:t> »</w:t>
      </w:r>
      <w:r w:rsidR="00F660F9">
        <w:rPr>
          <w:sz w:val="20"/>
        </w:rPr>
        <w:t xml:space="preserve">, Dalloz, </w:t>
      </w:r>
      <w:r w:rsidR="004C7E4A">
        <w:rPr>
          <w:sz w:val="20"/>
        </w:rPr>
        <w:t>7</w:t>
      </w:r>
      <w:r w:rsidR="00642550" w:rsidRPr="000565BE">
        <w:rPr>
          <w:sz w:val="20"/>
          <w:vertAlign w:val="superscript"/>
        </w:rPr>
        <w:t>ème</w:t>
      </w:r>
      <w:r w:rsidR="000565BE">
        <w:rPr>
          <w:sz w:val="20"/>
        </w:rPr>
        <w:t xml:space="preserve"> éd.</w:t>
      </w:r>
      <w:r w:rsidR="00811DE9">
        <w:rPr>
          <w:sz w:val="20"/>
        </w:rPr>
        <w:t xml:space="preserve"> </w:t>
      </w:r>
      <w:r w:rsidR="004C7E4A">
        <w:rPr>
          <w:sz w:val="20"/>
        </w:rPr>
        <w:t>2012</w:t>
      </w:r>
    </w:p>
    <w:p w:rsidR="000E7B4B" w:rsidRPr="00D17EE8" w:rsidRDefault="000E7B4B" w:rsidP="000E7B4B">
      <w:pPr>
        <w:spacing w:line="360" w:lineRule="atLeast"/>
        <w:ind w:left="20" w:right="-22" w:firstLine="280"/>
        <w:jc w:val="both"/>
        <w:rPr>
          <w:sz w:val="20"/>
        </w:rPr>
      </w:pPr>
      <w:r>
        <w:rPr>
          <w:b/>
          <w:sz w:val="20"/>
        </w:rPr>
        <w:t xml:space="preserve">J. ROUX : </w:t>
      </w:r>
      <w:r w:rsidRPr="00F660F9">
        <w:rPr>
          <w:b/>
          <w:i/>
          <w:sz w:val="20"/>
        </w:rPr>
        <w:t>« </w:t>
      </w:r>
      <w:r w:rsidRPr="00F660F9">
        <w:rPr>
          <w:i/>
          <w:sz w:val="20"/>
        </w:rPr>
        <w:t>Droit général de l’Union européenne »</w:t>
      </w:r>
      <w:r>
        <w:rPr>
          <w:sz w:val="20"/>
        </w:rPr>
        <w:t xml:space="preserve">, Litec, </w:t>
      </w:r>
      <w:r w:rsidR="00912B8E">
        <w:rPr>
          <w:sz w:val="20"/>
        </w:rPr>
        <w:t>4</w:t>
      </w:r>
      <w:r w:rsidRPr="007752B1">
        <w:rPr>
          <w:sz w:val="20"/>
          <w:vertAlign w:val="superscript"/>
        </w:rPr>
        <w:t>ème</w:t>
      </w:r>
      <w:r>
        <w:rPr>
          <w:sz w:val="20"/>
        </w:rPr>
        <w:t xml:space="preserve"> éd. </w:t>
      </w:r>
      <w:r w:rsidR="00912B8E">
        <w:rPr>
          <w:sz w:val="20"/>
        </w:rPr>
        <w:t>2012</w:t>
      </w:r>
    </w:p>
    <w:p w:rsidR="0021264F" w:rsidRDefault="0021264F" w:rsidP="0021264F">
      <w:pPr>
        <w:spacing w:line="360" w:lineRule="atLeast"/>
        <w:ind w:left="20" w:right="-22" w:firstLine="280"/>
        <w:jc w:val="both"/>
        <w:rPr>
          <w:sz w:val="20"/>
        </w:rPr>
      </w:pPr>
      <w:r>
        <w:rPr>
          <w:b/>
          <w:sz w:val="20"/>
        </w:rPr>
        <w:t>D. SIMON</w:t>
      </w:r>
      <w:r w:rsidR="00A276AB" w:rsidRPr="00F660F9">
        <w:rPr>
          <w:i/>
          <w:sz w:val="20"/>
        </w:rPr>
        <w:t>: « </w:t>
      </w:r>
      <w:r w:rsidRPr="00F660F9">
        <w:rPr>
          <w:i/>
          <w:sz w:val="20"/>
        </w:rPr>
        <w:t>Le système juridique commu</w:t>
      </w:r>
      <w:r w:rsidR="00A276AB" w:rsidRPr="00F660F9">
        <w:rPr>
          <w:i/>
          <w:sz w:val="20"/>
        </w:rPr>
        <w:t>nautaire »</w:t>
      </w:r>
      <w:r>
        <w:rPr>
          <w:sz w:val="20"/>
        </w:rPr>
        <w:t>, PUF, 3</w:t>
      </w:r>
      <w:r w:rsidRPr="007752B1">
        <w:rPr>
          <w:sz w:val="20"/>
          <w:vertAlign w:val="superscript"/>
        </w:rPr>
        <w:t>ème</w:t>
      </w:r>
      <w:r w:rsidR="0025141E">
        <w:rPr>
          <w:sz w:val="20"/>
        </w:rPr>
        <w:t xml:space="preserve"> éd. 2001</w:t>
      </w:r>
    </w:p>
    <w:p w:rsidR="0021264F" w:rsidRPr="00D17EE8" w:rsidRDefault="00F660F9" w:rsidP="0021264F">
      <w:pPr>
        <w:spacing w:line="360" w:lineRule="atLeast"/>
        <w:ind w:left="20" w:right="-22" w:firstLine="280"/>
        <w:jc w:val="both"/>
        <w:rPr>
          <w:sz w:val="20"/>
        </w:rPr>
      </w:pPr>
      <w:r>
        <w:rPr>
          <w:b/>
          <w:sz w:val="20"/>
        </w:rPr>
        <w:t>R. MEHDI</w:t>
      </w:r>
      <w:r w:rsidR="0021264F">
        <w:rPr>
          <w:b/>
          <w:sz w:val="20"/>
        </w:rPr>
        <w:t> </w:t>
      </w:r>
      <w:r w:rsidR="0021264F" w:rsidRPr="00F660F9">
        <w:rPr>
          <w:i/>
          <w:sz w:val="20"/>
        </w:rPr>
        <w:t xml:space="preserve">: </w:t>
      </w:r>
      <w:r w:rsidRPr="00F660F9">
        <w:rPr>
          <w:i/>
          <w:sz w:val="20"/>
        </w:rPr>
        <w:t>« </w:t>
      </w:r>
      <w:r w:rsidR="0021264F" w:rsidRPr="00F660F9">
        <w:rPr>
          <w:i/>
          <w:sz w:val="20"/>
        </w:rPr>
        <w:t>In</w:t>
      </w:r>
      <w:r w:rsidR="0025141E" w:rsidRPr="00F660F9">
        <w:rPr>
          <w:i/>
          <w:sz w:val="20"/>
        </w:rPr>
        <w:t>stitutions européennes</w:t>
      </w:r>
      <w:r w:rsidRPr="00F660F9">
        <w:rPr>
          <w:i/>
          <w:sz w:val="20"/>
        </w:rPr>
        <w:t> »</w:t>
      </w:r>
      <w:r w:rsidR="0025141E" w:rsidRPr="00F660F9">
        <w:rPr>
          <w:i/>
          <w:sz w:val="20"/>
        </w:rPr>
        <w:t>,</w:t>
      </w:r>
      <w:r w:rsidR="0025141E">
        <w:rPr>
          <w:sz w:val="20"/>
        </w:rPr>
        <w:t xml:space="preserve"> Hachette</w:t>
      </w:r>
      <w:r w:rsidR="00811DE9">
        <w:rPr>
          <w:sz w:val="20"/>
        </w:rPr>
        <w:t xml:space="preserve">, </w:t>
      </w:r>
      <w:r w:rsidR="004C7E4A">
        <w:rPr>
          <w:sz w:val="20"/>
        </w:rPr>
        <w:t>2007</w:t>
      </w:r>
    </w:p>
    <w:p w:rsidR="000E7B4B" w:rsidRDefault="000E7B4B" w:rsidP="000E7B4B">
      <w:pPr>
        <w:tabs>
          <w:tab w:val="left" w:pos="1540"/>
        </w:tabs>
        <w:spacing w:line="360" w:lineRule="atLeast"/>
        <w:ind w:left="20" w:right="-22" w:firstLine="280"/>
        <w:jc w:val="both"/>
        <w:rPr>
          <w:sz w:val="20"/>
        </w:rPr>
      </w:pPr>
      <w:r>
        <w:rPr>
          <w:b/>
          <w:sz w:val="20"/>
        </w:rPr>
        <w:t>P. MANIN</w:t>
      </w:r>
      <w:r>
        <w:rPr>
          <w:sz w:val="20"/>
        </w:rPr>
        <w:t xml:space="preserve">: </w:t>
      </w:r>
      <w:r w:rsidRPr="00F660F9">
        <w:rPr>
          <w:i/>
          <w:sz w:val="20"/>
        </w:rPr>
        <w:t>« L’Union européenne. Institutions, ordre juridique. Contentieux »</w:t>
      </w:r>
      <w:r>
        <w:rPr>
          <w:sz w:val="20"/>
        </w:rPr>
        <w:t>, Pedone, 3</w:t>
      </w:r>
      <w:r w:rsidRPr="007752B1">
        <w:rPr>
          <w:sz w:val="20"/>
          <w:vertAlign w:val="superscript"/>
        </w:rPr>
        <w:t>ème</w:t>
      </w:r>
      <w:r>
        <w:rPr>
          <w:sz w:val="20"/>
        </w:rPr>
        <w:t xml:space="preserve"> éd. 2005</w:t>
      </w:r>
    </w:p>
    <w:p w:rsidR="0021264F" w:rsidRDefault="0021264F" w:rsidP="0021264F">
      <w:pPr>
        <w:spacing w:line="360" w:lineRule="atLeast"/>
        <w:ind w:left="20" w:right="-22" w:firstLine="280"/>
        <w:jc w:val="both"/>
        <w:rPr>
          <w:sz w:val="20"/>
        </w:rPr>
      </w:pPr>
      <w:r>
        <w:rPr>
          <w:b/>
          <w:sz w:val="20"/>
        </w:rPr>
        <w:t>J. RIDEAU</w:t>
      </w:r>
      <w:r w:rsidR="00394440" w:rsidRPr="00F660F9">
        <w:rPr>
          <w:i/>
          <w:sz w:val="20"/>
        </w:rPr>
        <w:t>: « </w:t>
      </w:r>
      <w:r w:rsidRPr="00F660F9">
        <w:rPr>
          <w:i/>
          <w:sz w:val="20"/>
        </w:rPr>
        <w:t>Droit institutionnel de l'Union</w:t>
      </w:r>
      <w:r w:rsidR="00F660F9">
        <w:rPr>
          <w:i/>
          <w:sz w:val="20"/>
        </w:rPr>
        <w:t xml:space="preserve"> </w:t>
      </w:r>
      <w:r w:rsidR="00394440" w:rsidRPr="00F660F9">
        <w:rPr>
          <w:i/>
          <w:sz w:val="20"/>
        </w:rPr>
        <w:t>européenne »</w:t>
      </w:r>
      <w:r>
        <w:rPr>
          <w:sz w:val="20"/>
        </w:rPr>
        <w:t xml:space="preserve">, LGDJ, </w:t>
      </w:r>
      <w:r w:rsidR="00F660F9">
        <w:rPr>
          <w:sz w:val="20"/>
        </w:rPr>
        <w:t>6</w:t>
      </w:r>
      <w:r w:rsidR="00642550" w:rsidRPr="007752B1">
        <w:rPr>
          <w:sz w:val="20"/>
          <w:vertAlign w:val="superscript"/>
        </w:rPr>
        <w:t>ème</w:t>
      </w:r>
      <w:r>
        <w:rPr>
          <w:sz w:val="20"/>
        </w:rPr>
        <w:t xml:space="preserve"> </w:t>
      </w:r>
      <w:r w:rsidR="000565BE">
        <w:rPr>
          <w:sz w:val="20"/>
        </w:rPr>
        <w:t xml:space="preserve">éd. </w:t>
      </w:r>
      <w:r>
        <w:rPr>
          <w:sz w:val="20"/>
        </w:rPr>
        <w:t>20</w:t>
      </w:r>
      <w:r w:rsidR="00F660F9">
        <w:rPr>
          <w:sz w:val="20"/>
        </w:rPr>
        <w:t>10</w:t>
      </w:r>
    </w:p>
    <w:p w:rsidR="0021264F" w:rsidRDefault="0021264F" w:rsidP="0021264F">
      <w:pPr>
        <w:tabs>
          <w:tab w:val="left" w:pos="1540"/>
        </w:tabs>
        <w:spacing w:line="360" w:lineRule="atLeast"/>
        <w:ind w:left="20" w:right="-22" w:firstLine="280"/>
        <w:jc w:val="both"/>
        <w:rPr>
          <w:sz w:val="20"/>
        </w:rPr>
      </w:pPr>
      <w:r>
        <w:rPr>
          <w:b/>
          <w:sz w:val="20"/>
        </w:rPr>
        <w:t>J.-C. GAUTRON</w:t>
      </w:r>
      <w:r w:rsidR="00394440">
        <w:rPr>
          <w:sz w:val="20"/>
        </w:rPr>
        <w:t>: « </w:t>
      </w:r>
      <w:r>
        <w:rPr>
          <w:sz w:val="20"/>
        </w:rPr>
        <w:t>Dro</w:t>
      </w:r>
      <w:r w:rsidR="00394440">
        <w:rPr>
          <w:sz w:val="20"/>
        </w:rPr>
        <w:t>it européen »</w:t>
      </w:r>
      <w:r>
        <w:rPr>
          <w:sz w:val="20"/>
        </w:rPr>
        <w:t>, Mémento Dalloz, 14</w:t>
      </w:r>
      <w:r w:rsidR="00642550" w:rsidRPr="007752B1">
        <w:rPr>
          <w:sz w:val="20"/>
          <w:vertAlign w:val="superscript"/>
        </w:rPr>
        <w:t>ème</w:t>
      </w:r>
      <w:r>
        <w:rPr>
          <w:sz w:val="20"/>
        </w:rPr>
        <w:t xml:space="preserve"> éd. </w:t>
      </w:r>
      <w:r w:rsidR="002F5489">
        <w:rPr>
          <w:sz w:val="20"/>
        </w:rPr>
        <w:t>2012</w:t>
      </w:r>
    </w:p>
    <w:p w:rsidR="00C5511F" w:rsidRPr="00C5511F" w:rsidRDefault="00C5511F" w:rsidP="0021264F">
      <w:pPr>
        <w:tabs>
          <w:tab w:val="left" w:pos="1540"/>
        </w:tabs>
        <w:spacing w:line="360" w:lineRule="atLeast"/>
        <w:ind w:left="20" w:right="-22" w:firstLine="280"/>
        <w:jc w:val="both"/>
        <w:rPr>
          <w:sz w:val="20"/>
        </w:rPr>
      </w:pPr>
      <w:r w:rsidRPr="00C5511F">
        <w:rPr>
          <w:b/>
          <w:sz w:val="20"/>
        </w:rPr>
        <w:t>L. COUTRON</w:t>
      </w:r>
      <w:r>
        <w:rPr>
          <w:b/>
          <w:sz w:val="20"/>
        </w:rPr>
        <w:t> </w:t>
      </w:r>
      <w:r>
        <w:rPr>
          <w:sz w:val="20"/>
        </w:rPr>
        <w:t xml:space="preserve">: </w:t>
      </w:r>
      <w:r w:rsidRPr="00C5511F">
        <w:rPr>
          <w:i/>
          <w:sz w:val="20"/>
        </w:rPr>
        <w:t>« Droit de l’Union européenne »</w:t>
      </w:r>
      <w:r>
        <w:rPr>
          <w:sz w:val="20"/>
        </w:rPr>
        <w:t xml:space="preserve">, </w:t>
      </w:r>
      <w:r>
        <w:rPr>
          <w:sz w:val="20"/>
        </w:rPr>
        <w:t>Mémento Dalloz</w:t>
      </w:r>
      <w:r>
        <w:rPr>
          <w:sz w:val="20"/>
        </w:rPr>
        <w:t>, 2013</w:t>
      </w:r>
    </w:p>
    <w:p w:rsidR="0021264F" w:rsidRDefault="0021264F" w:rsidP="0021264F">
      <w:pPr>
        <w:spacing w:line="360" w:lineRule="atLeast"/>
        <w:ind w:left="20" w:right="-22" w:firstLine="280"/>
        <w:jc w:val="both"/>
        <w:rPr>
          <w:b/>
          <w:sz w:val="20"/>
          <w:u w:val="single"/>
        </w:rPr>
      </w:pPr>
    </w:p>
    <w:p w:rsidR="00F660F9" w:rsidRPr="00F660F9" w:rsidRDefault="00F660F9" w:rsidP="0021264F">
      <w:pPr>
        <w:spacing w:line="360" w:lineRule="atLeast"/>
        <w:ind w:left="20" w:right="-22" w:firstLine="280"/>
        <w:jc w:val="both"/>
        <w:rPr>
          <w:b/>
          <w:u w:val="single"/>
        </w:rPr>
      </w:pPr>
      <w:r w:rsidRPr="00F660F9">
        <w:rPr>
          <w:b/>
          <w:u w:val="single"/>
        </w:rPr>
        <w:t>Commentaire</w:t>
      </w:r>
      <w:r>
        <w:rPr>
          <w:b/>
          <w:u w:val="single"/>
        </w:rPr>
        <w:t>s de jurisprudence</w:t>
      </w:r>
    </w:p>
    <w:p w:rsidR="00F660F9" w:rsidRPr="00642550" w:rsidRDefault="004516E8" w:rsidP="0021264F">
      <w:pPr>
        <w:spacing w:line="360" w:lineRule="atLeast"/>
        <w:ind w:left="20" w:right="-22" w:firstLine="280"/>
        <w:jc w:val="both"/>
        <w:rPr>
          <w:sz w:val="20"/>
        </w:rPr>
      </w:pPr>
      <w:r>
        <w:rPr>
          <w:b/>
          <w:sz w:val="20"/>
        </w:rPr>
        <w:t>H. GAUDIN, M. BLANQUET, J. ANDRIANTSIMBAZOVINA, F. FINES</w:t>
      </w:r>
      <w:r w:rsidR="00642550">
        <w:rPr>
          <w:b/>
          <w:sz w:val="20"/>
        </w:rPr>
        <w:t xml:space="preserve"> : </w:t>
      </w:r>
      <w:r w:rsidR="00642550" w:rsidRPr="00D67C08">
        <w:rPr>
          <w:b/>
          <w:i/>
          <w:sz w:val="20"/>
        </w:rPr>
        <w:t>« </w:t>
      </w:r>
      <w:r w:rsidR="00642550" w:rsidRPr="00D67C08">
        <w:rPr>
          <w:i/>
          <w:sz w:val="20"/>
        </w:rPr>
        <w:t>LesGrands arrêts de la Cour de justice de l’Union européenne »,</w:t>
      </w:r>
      <w:r w:rsidR="00642550">
        <w:rPr>
          <w:sz w:val="20"/>
        </w:rPr>
        <w:t xml:space="preserve"> </w:t>
      </w:r>
      <w:r w:rsidR="00642550" w:rsidRPr="00502229">
        <w:rPr>
          <w:sz w:val="20"/>
        </w:rPr>
        <w:t>Dalloz,</w:t>
      </w:r>
      <w:r w:rsidR="00642550">
        <w:rPr>
          <w:i/>
          <w:sz w:val="20"/>
        </w:rPr>
        <w:t xml:space="preserve"> </w:t>
      </w:r>
      <w:r w:rsidR="00642550">
        <w:rPr>
          <w:sz w:val="20"/>
        </w:rPr>
        <w:t>1ère</w:t>
      </w:r>
      <w:r w:rsidR="00C17255">
        <w:rPr>
          <w:sz w:val="20"/>
        </w:rPr>
        <w:t xml:space="preserve"> éd., tome 1, </w:t>
      </w:r>
      <w:r w:rsidR="00642550">
        <w:rPr>
          <w:sz w:val="20"/>
        </w:rPr>
        <w:t>2014</w:t>
      </w:r>
    </w:p>
    <w:p w:rsidR="00F660F9" w:rsidRPr="00223AC3" w:rsidRDefault="00DA048E" w:rsidP="0021264F">
      <w:pPr>
        <w:spacing w:line="360" w:lineRule="atLeast"/>
        <w:ind w:left="20" w:right="-22" w:firstLine="280"/>
        <w:jc w:val="both"/>
        <w:rPr>
          <w:b/>
          <w:sz w:val="20"/>
        </w:rPr>
      </w:pPr>
      <w:r>
        <w:rPr>
          <w:b/>
          <w:sz w:val="20"/>
        </w:rPr>
        <w:t>M. KARPENSHIF</w:t>
      </w:r>
      <w:r w:rsidR="00013A2D">
        <w:rPr>
          <w:b/>
          <w:sz w:val="20"/>
        </w:rPr>
        <w:t xml:space="preserve"> et C. NOU</w:t>
      </w:r>
      <w:r w:rsidR="00223AC3">
        <w:rPr>
          <w:b/>
          <w:sz w:val="20"/>
        </w:rPr>
        <w:t>RISSAT</w:t>
      </w:r>
      <w:r w:rsidR="00493222">
        <w:rPr>
          <w:b/>
          <w:sz w:val="20"/>
        </w:rPr>
        <w:t> :</w:t>
      </w:r>
      <w:r>
        <w:rPr>
          <w:b/>
          <w:sz w:val="20"/>
        </w:rPr>
        <w:t xml:space="preserve"> </w:t>
      </w:r>
      <w:r w:rsidR="00C17255" w:rsidRPr="00D67C08">
        <w:rPr>
          <w:b/>
          <w:i/>
          <w:sz w:val="20"/>
        </w:rPr>
        <w:t>« </w:t>
      </w:r>
      <w:r w:rsidR="00C17255" w:rsidRPr="00D67C08">
        <w:rPr>
          <w:i/>
          <w:sz w:val="20"/>
        </w:rPr>
        <w:t xml:space="preserve">LesGrands arrêts de la </w:t>
      </w:r>
      <w:r w:rsidR="00C17255">
        <w:rPr>
          <w:i/>
          <w:sz w:val="20"/>
        </w:rPr>
        <w:t>jurisprudence</w:t>
      </w:r>
      <w:r w:rsidR="00C17255" w:rsidRPr="00D67C08">
        <w:rPr>
          <w:i/>
          <w:sz w:val="20"/>
        </w:rPr>
        <w:t xml:space="preserve"> de l’Union européenne »,</w:t>
      </w:r>
      <w:r w:rsidR="00223AC3">
        <w:rPr>
          <w:sz w:val="20"/>
        </w:rPr>
        <w:t xml:space="preserve"> PUF, 2</w:t>
      </w:r>
      <w:r w:rsidR="00223AC3">
        <w:rPr>
          <w:sz w:val="20"/>
          <w:vertAlign w:val="superscript"/>
        </w:rPr>
        <w:t xml:space="preserve">ème </w:t>
      </w:r>
      <w:r w:rsidR="00223AC3">
        <w:rPr>
          <w:sz w:val="20"/>
        </w:rPr>
        <w:t>éd. 2014</w:t>
      </w:r>
    </w:p>
    <w:p w:rsidR="00DA048E" w:rsidRDefault="00DA048E" w:rsidP="0021264F">
      <w:pPr>
        <w:spacing w:line="360" w:lineRule="atLeast"/>
        <w:ind w:left="20" w:right="-22" w:firstLine="280"/>
        <w:jc w:val="both"/>
        <w:rPr>
          <w:b/>
          <w:sz w:val="20"/>
          <w:u w:val="single"/>
        </w:rPr>
      </w:pPr>
    </w:p>
    <w:p w:rsidR="00502229" w:rsidRPr="00E808B6" w:rsidRDefault="00502229" w:rsidP="00502229">
      <w:pPr>
        <w:tabs>
          <w:tab w:val="left" w:pos="4580"/>
        </w:tabs>
        <w:spacing w:before="240"/>
        <w:ind w:right="-22"/>
        <w:jc w:val="both"/>
        <w:rPr>
          <w:rFonts w:ascii="Times" w:hAnsi="Times" w:cs="Times"/>
          <w:b/>
          <w:szCs w:val="24"/>
          <w:u w:val="single"/>
        </w:rPr>
      </w:pPr>
      <w:r>
        <w:rPr>
          <w:rFonts w:ascii="Times" w:hAnsi="Times" w:cs="Times"/>
          <w:b/>
          <w:szCs w:val="24"/>
          <w:u w:val="single"/>
        </w:rPr>
        <w:t>Exercices corrigés</w:t>
      </w:r>
    </w:p>
    <w:p w:rsidR="00502229" w:rsidRPr="00502229" w:rsidRDefault="00502229" w:rsidP="0021264F">
      <w:pPr>
        <w:spacing w:line="360" w:lineRule="atLeast"/>
        <w:ind w:left="20" w:right="-22" w:firstLine="280"/>
        <w:jc w:val="both"/>
        <w:rPr>
          <w:sz w:val="20"/>
          <w:u w:val="single"/>
        </w:rPr>
      </w:pPr>
      <w:r w:rsidRPr="00502229">
        <w:rPr>
          <w:b/>
          <w:sz w:val="20"/>
        </w:rPr>
        <w:t xml:space="preserve">L. GRARD </w:t>
      </w:r>
      <w:r w:rsidRPr="00502229">
        <w:rPr>
          <w:sz w:val="20"/>
        </w:rPr>
        <w:t>(dir) :</w:t>
      </w:r>
      <w:r>
        <w:rPr>
          <w:b/>
          <w:sz w:val="20"/>
        </w:rPr>
        <w:t xml:space="preserve"> </w:t>
      </w:r>
      <w:r w:rsidRPr="00502229">
        <w:rPr>
          <w:i/>
          <w:sz w:val="20"/>
        </w:rPr>
        <w:t xml:space="preserve">« Droit de l’Union européenne », </w:t>
      </w:r>
      <w:r>
        <w:rPr>
          <w:sz w:val="20"/>
        </w:rPr>
        <w:t>Exercices pratiques, LGDJ, 2013</w:t>
      </w:r>
    </w:p>
    <w:p w:rsidR="00502229" w:rsidRDefault="00502229" w:rsidP="0021264F">
      <w:pPr>
        <w:spacing w:line="360" w:lineRule="atLeast"/>
        <w:ind w:left="20" w:right="-22" w:firstLine="280"/>
        <w:jc w:val="both"/>
        <w:rPr>
          <w:i/>
          <w:sz w:val="20"/>
          <w:u w:val="single"/>
        </w:rPr>
      </w:pPr>
    </w:p>
    <w:p w:rsidR="00502229" w:rsidRPr="00502229" w:rsidRDefault="00502229" w:rsidP="0021264F">
      <w:pPr>
        <w:spacing w:line="360" w:lineRule="atLeast"/>
        <w:ind w:left="20" w:right="-22" w:firstLine="280"/>
        <w:jc w:val="both"/>
        <w:rPr>
          <w:i/>
          <w:sz w:val="20"/>
          <w:u w:val="single"/>
        </w:rPr>
      </w:pPr>
    </w:p>
    <w:p w:rsidR="0021264F" w:rsidRPr="00E808B6" w:rsidRDefault="0021264F" w:rsidP="0021264F">
      <w:pPr>
        <w:tabs>
          <w:tab w:val="left" w:pos="4580"/>
        </w:tabs>
        <w:spacing w:before="240"/>
        <w:ind w:right="-22"/>
        <w:jc w:val="both"/>
        <w:rPr>
          <w:rFonts w:ascii="Times" w:hAnsi="Times" w:cs="Times"/>
          <w:b/>
          <w:szCs w:val="24"/>
          <w:u w:val="single"/>
        </w:rPr>
      </w:pPr>
      <w:r w:rsidRPr="00E808B6">
        <w:rPr>
          <w:rFonts w:ascii="Times" w:hAnsi="Times" w:cs="Times"/>
          <w:b/>
          <w:szCs w:val="24"/>
          <w:u w:val="single"/>
        </w:rPr>
        <w:lastRenderedPageBreak/>
        <w:t xml:space="preserve">Contentieux </w:t>
      </w:r>
      <w:r w:rsidR="00F660F9">
        <w:rPr>
          <w:rFonts w:ascii="Times" w:hAnsi="Times" w:cs="Times"/>
          <w:b/>
          <w:szCs w:val="24"/>
          <w:u w:val="single"/>
        </w:rPr>
        <w:t>européen</w:t>
      </w:r>
    </w:p>
    <w:p w:rsidR="0021264F" w:rsidRPr="000A4195" w:rsidRDefault="007A7424" w:rsidP="0021264F">
      <w:pPr>
        <w:tabs>
          <w:tab w:val="left" w:pos="4580"/>
        </w:tabs>
        <w:spacing w:before="240"/>
        <w:ind w:left="20" w:right="-22" w:firstLine="260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b/>
          <w:sz w:val="20"/>
        </w:rPr>
        <w:t>M. WATHELET</w:t>
      </w:r>
      <w:r w:rsidR="0021264F" w:rsidRPr="000A4195">
        <w:rPr>
          <w:rFonts w:ascii="Times" w:hAnsi="Times" w:cs="Times"/>
          <w:b/>
          <w:sz w:val="20"/>
        </w:rPr>
        <w:t xml:space="preserve"> et J. WILDEMERSCH : </w:t>
      </w:r>
      <w:r w:rsidR="0021264F">
        <w:rPr>
          <w:rFonts w:ascii="Times" w:hAnsi="Times" w:cs="Times"/>
          <w:b/>
          <w:sz w:val="20"/>
        </w:rPr>
        <w:t>« </w:t>
      </w:r>
      <w:r w:rsidR="0021264F" w:rsidRPr="000A4195">
        <w:rPr>
          <w:rFonts w:ascii="Times" w:hAnsi="Times" w:cs="Times"/>
          <w:sz w:val="20"/>
        </w:rPr>
        <w:t>Contentieux européen</w:t>
      </w:r>
      <w:r w:rsidR="0021264F">
        <w:rPr>
          <w:rFonts w:ascii="Times" w:hAnsi="Times" w:cs="Times"/>
          <w:sz w:val="20"/>
        </w:rPr>
        <w:t xml:space="preserve"> », Larcier, </w:t>
      </w:r>
      <w:r w:rsidR="005E42C1">
        <w:rPr>
          <w:rFonts w:ascii="Times" w:hAnsi="Times" w:cs="Times"/>
          <w:sz w:val="20"/>
        </w:rPr>
        <w:t>2</w:t>
      </w:r>
      <w:r w:rsidR="00D20D2B">
        <w:rPr>
          <w:rFonts w:ascii="Times" w:hAnsi="Times" w:cs="Times"/>
          <w:sz w:val="20"/>
          <w:vertAlign w:val="superscript"/>
        </w:rPr>
        <w:t xml:space="preserve">ème </w:t>
      </w:r>
      <w:r w:rsidR="00D20D2B">
        <w:rPr>
          <w:rFonts w:ascii="Times" w:hAnsi="Times" w:cs="Times"/>
          <w:sz w:val="20"/>
        </w:rPr>
        <w:t>éd. 2014</w:t>
      </w:r>
    </w:p>
    <w:p w:rsidR="00E84958" w:rsidRPr="00493222" w:rsidRDefault="00493222" w:rsidP="008E7A4F">
      <w:pPr>
        <w:tabs>
          <w:tab w:val="left" w:pos="1920"/>
          <w:tab w:val="left" w:pos="4580"/>
        </w:tabs>
        <w:spacing w:before="240"/>
        <w:ind w:firstLine="260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b/>
          <w:sz w:val="20"/>
        </w:rPr>
        <w:t xml:space="preserve">Von BARDELEBEN E., F. DONNAT, D. SIRITZKY : </w:t>
      </w:r>
      <w:r w:rsidRPr="00493222">
        <w:rPr>
          <w:rFonts w:ascii="Times" w:hAnsi="Times" w:cs="Times"/>
          <w:sz w:val="20"/>
        </w:rPr>
        <w:t xml:space="preserve">« La Cour de justice de l’Union européenne et le </w:t>
      </w:r>
      <w:r w:rsidR="008E7A4F">
        <w:rPr>
          <w:rFonts w:ascii="Times" w:hAnsi="Times" w:cs="Times"/>
          <w:sz w:val="20"/>
        </w:rPr>
        <w:t xml:space="preserve">droit du </w:t>
      </w:r>
      <w:r w:rsidRPr="00493222">
        <w:rPr>
          <w:rFonts w:ascii="Times" w:hAnsi="Times" w:cs="Times"/>
          <w:sz w:val="20"/>
        </w:rPr>
        <w:t>contentieux</w:t>
      </w:r>
      <w:r w:rsidR="008E7A4F">
        <w:rPr>
          <w:rFonts w:ascii="Times" w:hAnsi="Times" w:cs="Times"/>
          <w:sz w:val="20"/>
        </w:rPr>
        <w:t xml:space="preserve"> européen », Documentation française, 2012</w:t>
      </w:r>
    </w:p>
    <w:p w:rsidR="0021264F" w:rsidRDefault="0021264F" w:rsidP="0021264F">
      <w:pPr>
        <w:spacing w:line="360" w:lineRule="atLeast"/>
        <w:ind w:left="20" w:right="-22" w:firstLine="280"/>
        <w:jc w:val="both"/>
        <w:rPr>
          <w:b/>
          <w:sz w:val="20"/>
          <w:u w:val="single"/>
        </w:rPr>
      </w:pPr>
    </w:p>
    <w:p w:rsidR="0021264F" w:rsidRPr="00E808B6" w:rsidRDefault="0021264F" w:rsidP="0021264F">
      <w:pPr>
        <w:spacing w:line="360" w:lineRule="atLeast"/>
        <w:ind w:right="-22"/>
        <w:jc w:val="both"/>
        <w:rPr>
          <w:b/>
          <w:szCs w:val="24"/>
          <w:u w:val="single"/>
        </w:rPr>
      </w:pPr>
      <w:r w:rsidRPr="00E808B6">
        <w:rPr>
          <w:b/>
          <w:szCs w:val="24"/>
          <w:u w:val="single"/>
        </w:rPr>
        <w:t xml:space="preserve">Manuels de droit matériel </w:t>
      </w:r>
      <w:r>
        <w:rPr>
          <w:b/>
          <w:szCs w:val="24"/>
          <w:u w:val="single"/>
        </w:rPr>
        <w:t>de l’Union</w:t>
      </w:r>
    </w:p>
    <w:p w:rsidR="00205100" w:rsidRDefault="00205100" w:rsidP="00205100">
      <w:pPr>
        <w:spacing w:line="360" w:lineRule="atLeast"/>
        <w:ind w:left="20" w:right="-22" w:firstLine="280"/>
        <w:jc w:val="both"/>
        <w:rPr>
          <w:sz w:val="20"/>
        </w:rPr>
      </w:pPr>
      <w:r>
        <w:rPr>
          <w:b/>
          <w:sz w:val="20"/>
        </w:rPr>
        <w:t>C. BLUMANN et L. DUBOUIS</w:t>
      </w:r>
      <w:r>
        <w:rPr>
          <w:sz w:val="20"/>
        </w:rPr>
        <w:t xml:space="preserve">: "Droit matériel de l’Union européenne", </w:t>
      </w:r>
      <w:r w:rsidR="00A962E8">
        <w:rPr>
          <w:sz w:val="20"/>
        </w:rPr>
        <w:t>Montchrestion</w:t>
      </w:r>
      <w:r>
        <w:rPr>
          <w:sz w:val="20"/>
        </w:rPr>
        <w:t xml:space="preserve">, </w:t>
      </w:r>
      <w:r w:rsidR="000565BE">
        <w:rPr>
          <w:rFonts w:ascii="Times" w:hAnsi="Times" w:cs="Times"/>
          <w:sz w:val="20"/>
        </w:rPr>
        <w:t>6</w:t>
      </w:r>
      <w:r w:rsidR="000565BE" w:rsidRPr="007752B1">
        <w:rPr>
          <w:sz w:val="20"/>
          <w:vertAlign w:val="superscript"/>
        </w:rPr>
        <w:t>ème</w:t>
      </w:r>
      <w:r w:rsidR="000565BE">
        <w:rPr>
          <w:sz w:val="20"/>
          <w:vertAlign w:val="superscript"/>
        </w:rPr>
        <w:t xml:space="preserve"> </w:t>
      </w:r>
      <w:r w:rsidR="000565BE">
        <w:rPr>
          <w:sz w:val="20"/>
        </w:rPr>
        <w:t>éd.</w:t>
      </w:r>
      <w:r w:rsidR="00013A2D">
        <w:rPr>
          <w:sz w:val="20"/>
        </w:rPr>
        <w:t xml:space="preserve"> </w:t>
      </w:r>
      <w:r w:rsidR="00A962E8">
        <w:rPr>
          <w:rFonts w:ascii="Times" w:hAnsi="Times" w:cs="Times"/>
          <w:sz w:val="20"/>
        </w:rPr>
        <w:t>2012</w:t>
      </w:r>
      <w:r>
        <w:rPr>
          <w:rFonts w:ascii="Times" w:hAnsi="Times" w:cs="Times"/>
          <w:sz w:val="20"/>
        </w:rPr>
        <w:t>.</w:t>
      </w:r>
    </w:p>
    <w:p w:rsidR="009E128A" w:rsidRPr="00E939FC" w:rsidRDefault="009E128A" w:rsidP="009E128A">
      <w:pPr>
        <w:spacing w:line="360" w:lineRule="atLeast"/>
        <w:ind w:left="20" w:right="-22" w:firstLine="280"/>
        <w:jc w:val="both"/>
        <w:rPr>
          <w:sz w:val="20"/>
        </w:rPr>
      </w:pPr>
      <w:r w:rsidRPr="00E939FC">
        <w:rPr>
          <w:b/>
          <w:sz w:val="20"/>
        </w:rPr>
        <w:t xml:space="preserve">J. </w:t>
      </w:r>
      <w:r w:rsidRPr="00EE387C">
        <w:rPr>
          <w:b/>
          <w:sz w:val="20"/>
        </w:rPr>
        <w:t xml:space="preserve">MOLINIER, </w:t>
      </w:r>
      <w:r>
        <w:rPr>
          <w:b/>
          <w:sz w:val="20"/>
        </w:rPr>
        <w:t>N. De Grove-</w:t>
      </w:r>
      <w:r w:rsidRPr="00EE387C">
        <w:rPr>
          <w:b/>
          <w:sz w:val="20"/>
        </w:rPr>
        <w:t>Valdeyron</w:t>
      </w:r>
      <w:r w:rsidR="00493222">
        <w:rPr>
          <w:b/>
          <w:sz w:val="20"/>
        </w:rPr>
        <w:t> </w:t>
      </w:r>
      <w:r w:rsidR="00493222">
        <w:rPr>
          <w:sz w:val="20"/>
        </w:rPr>
        <w:t>:</w:t>
      </w:r>
      <w:r>
        <w:rPr>
          <w:sz w:val="20"/>
        </w:rPr>
        <w:t xml:space="preserve"> « Droit du marché intérieur », 3</w:t>
      </w:r>
      <w:r w:rsidRPr="00EE387C">
        <w:rPr>
          <w:sz w:val="20"/>
          <w:vertAlign w:val="superscript"/>
        </w:rPr>
        <w:t>ème</w:t>
      </w:r>
      <w:r>
        <w:rPr>
          <w:sz w:val="20"/>
        </w:rPr>
        <w:t xml:space="preserve"> éd. LGDJ, coll. Système, 2011</w:t>
      </w:r>
    </w:p>
    <w:p w:rsidR="0021264F" w:rsidRDefault="0021264F" w:rsidP="0021264F">
      <w:pPr>
        <w:spacing w:line="360" w:lineRule="atLeast"/>
        <w:ind w:left="20" w:right="-22" w:firstLine="280"/>
        <w:jc w:val="both"/>
        <w:rPr>
          <w:sz w:val="20"/>
        </w:rPr>
      </w:pPr>
      <w:r>
        <w:rPr>
          <w:b/>
          <w:sz w:val="20"/>
        </w:rPr>
        <w:t>G. DRUESNE:</w:t>
      </w:r>
      <w:r>
        <w:rPr>
          <w:sz w:val="20"/>
        </w:rPr>
        <w:t xml:space="preserve">"Droit </w:t>
      </w:r>
      <w:r w:rsidR="00190230">
        <w:rPr>
          <w:sz w:val="20"/>
        </w:rPr>
        <w:t>de l’Union européenne et politiques communautaires</w:t>
      </w:r>
      <w:r w:rsidR="00493222">
        <w:rPr>
          <w:sz w:val="20"/>
        </w:rPr>
        <w:t>" :</w:t>
      </w:r>
      <w:r>
        <w:rPr>
          <w:sz w:val="20"/>
        </w:rPr>
        <w:t xml:space="preserve"> coll. Droit fondamental, PUF</w:t>
      </w:r>
      <w:r w:rsidR="00190230">
        <w:rPr>
          <w:sz w:val="20"/>
        </w:rPr>
        <w:t>, 8</w:t>
      </w:r>
      <w:r w:rsidR="000565BE" w:rsidRPr="007752B1">
        <w:rPr>
          <w:sz w:val="20"/>
          <w:vertAlign w:val="superscript"/>
        </w:rPr>
        <w:t>ème</w:t>
      </w:r>
      <w:r w:rsidR="00190230">
        <w:rPr>
          <w:sz w:val="20"/>
        </w:rPr>
        <w:t xml:space="preserve"> éd., 2006</w:t>
      </w:r>
    </w:p>
    <w:p w:rsidR="0021264F" w:rsidRDefault="0021264F" w:rsidP="0021264F">
      <w:pPr>
        <w:spacing w:line="360" w:lineRule="atLeast"/>
        <w:ind w:left="20" w:right="-22" w:firstLine="280"/>
        <w:jc w:val="both"/>
        <w:rPr>
          <w:sz w:val="20"/>
        </w:rPr>
      </w:pPr>
      <w:r>
        <w:rPr>
          <w:b/>
          <w:sz w:val="20"/>
        </w:rPr>
        <w:t xml:space="preserve">M. FALLON: </w:t>
      </w:r>
      <w:r w:rsidR="007B54B2">
        <w:rPr>
          <w:sz w:val="20"/>
        </w:rPr>
        <w:t>"Droit matériel général de l’Union</w:t>
      </w:r>
      <w:r>
        <w:rPr>
          <w:sz w:val="20"/>
        </w:rPr>
        <w:t xml:space="preserve"> européenne</w:t>
      </w:r>
      <w:r w:rsidR="007B54B2">
        <w:rPr>
          <w:sz w:val="20"/>
        </w:rPr>
        <w:t>", Bruylant, 2</w:t>
      </w:r>
      <w:r w:rsidR="000565BE" w:rsidRPr="007752B1">
        <w:rPr>
          <w:sz w:val="20"/>
          <w:vertAlign w:val="superscript"/>
        </w:rPr>
        <w:t>ème</w:t>
      </w:r>
      <w:r w:rsidR="000565BE">
        <w:rPr>
          <w:sz w:val="20"/>
        </w:rPr>
        <w:t xml:space="preserve"> </w:t>
      </w:r>
      <w:r w:rsidR="007B54B2">
        <w:rPr>
          <w:sz w:val="20"/>
        </w:rPr>
        <w:t>éd. 2002</w:t>
      </w:r>
    </w:p>
    <w:p w:rsidR="0021264F" w:rsidRDefault="0021264F" w:rsidP="0021264F">
      <w:pPr>
        <w:spacing w:line="360" w:lineRule="atLeast"/>
        <w:ind w:right="-22"/>
        <w:jc w:val="both"/>
        <w:rPr>
          <w:b/>
          <w:sz w:val="20"/>
          <w:u w:val="single"/>
        </w:rPr>
      </w:pPr>
    </w:p>
    <w:p w:rsidR="0021264F" w:rsidRPr="00E808B6" w:rsidRDefault="0021264F" w:rsidP="0021264F">
      <w:pPr>
        <w:spacing w:line="360" w:lineRule="atLeast"/>
        <w:ind w:right="-22"/>
        <w:jc w:val="both"/>
        <w:rPr>
          <w:b/>
          <w:szCs w:val="24"/>
        </w:rPr>
      </w:pPr>
      <w:r w:rsidRPr="00E808B6">
        <w:rPr>
          <w:b/>
          <w:szCs w:val="24"/>
          <w:u w:val="single"/>
        </w:rPr>
        <w:t>Dictionnaires, répertoires, encyclopédies</w:t>
      </w:r>
      <w:r>
        <w:rPr>
          <w:b/>
          <w:szCs w:val="24"/>
          <w:u w:val="single"/>
        </w:rPr>
        <w:t>, commentaires</w:t>
      </w:r>
    </w:p>
    <w:p w:rsidR="0021264F" w:rsidRDefault="0021264F" w:rsidP="0021264F">
      <w:pPr>
        <w:spacing w:line="360" w:lineRule="atLeast"/>
        <w:ind w:firstLine="280"/>
        <w:jc w:val="both"/>
        <w:rPr>
          <w:sz w:val="20"/>
        </w:rPr>
      </w:pPr>
      <w:r>
        <w:rPr>
          <w:b/>
          <w:sz w:val="20"/>
        </w:rPr>
        <w:t>JURISCLASSEUR EUROPE,</w:t>
      </w:r>
      <w:r>
        <w:rPr>
          <w:sz w:val="20"/>
        </w:rPr>
        <w:t xml:space="preserve"> Éditions Techniques, 7 vol..</w:t>
      </w:r>
    </w:p>
    <w:p w:rsidR="0021264F" w:rsidRPr="00535444" w:rsidRDefault="0021264F" w:rsidP="0021264F">
      <w:pPr>
        <w:spacing w:line="360" w:lineRule="atLeast"/>
        <w:ind w:left="20" w:right="-22" w:firstLine="280"/>
        <w:jc w:val="both"/>
        <w:rPr>
          <w:sz w:val="20"/>
        </w:rPr>
      </w:pPr>
      <w:r>
        <w:rPr>
          <w:b/>
          <w:sz w:val="20"/>
        </w:rPr>
        <w:t xml:space="preserve">Commentaire Megret, </w:t>
      </w:r>
      <w:r>
        <w:rPr>
          <w:sz w:val="20"/>
        </w:rPr>
        <w:t xml:space="preserve">Le droit de </w:t>
      </w:r>
      <w:smartTag w:uri="urn:schemas-microsoft-com:office:smarttags" w:element="PersonName">
        <w:smartTagPr>
          <w:attr w:name="ProductID" w:val="la Communauta￩"/>
        </w:smartTagPr>
        <w:r>
          <w:rPr>
            <w:sz w:val="20"/>
          </w:rPr>
          <w:t>la Communautaé</w:t>
        </w:r>
      </w:smartTag>
      <w:r>
        <w:rPr>
          <w:sz w:val="20"/>
        </w:rPr>
        <w:t xml:space="preserve"> et de l’Union européenne, 2</w:t>
      </w:r>
      <w:r w:rsidRPr="00535444">
        <w:rPr>
          <w:sz w:val="20"/>
          <w:vertAlign w:val="superscript"/>
        </w:rPr>
        <w:t>ème</w:t>
      </w:r>
      <w:r>
        <w:rPr>
          <w:sz w:val="20"/>
        </w:rPr>
        <w:t xml:space="preserve"> édition de l’Université de Bruxelles, en 15 volumes</w:t>
      </w:r>
    </w:p>
    <w:p w:rsidR="0021264F" w:rsidRDefault="0021264F" w:rsidP="0021264F">
      <w:pPr>
        <w:spacing w:line="360" w:lineRule="atLeast"/>
        <w:ind w:left="20" w:right="-22" w:firstLine="280"/>
        <w:jc w:val="both"/>
        <w:rPr>
          <w:sz w:val="20"/>
        </w:rPr>
      </w:pPr>
      <w:r w:rsidRPr="00B35F57">
        <w:rPr>
          <w:b/>
          <w:sz w:val="20"/>
        </w:rPr>
        <w:t>Encyclopédie Dalloz de droit communautaire</w:t>
      </w:r>
      <w:r>
        <w:rPr>
          <w:sz w:val="20"/>
        </w:rPr>
        <w:t>, 4</w:t>
      </w:r>
      <w:r w:rsidR="0025141E">
        <w:rPr>
          <w:sz w:val="20"/>
        </w:rPr>
        <w:t xml:space="preserve"> volumes à partir de 1992</w:t>
      </w:r>
    </w:p>
    <w:p w:rsidR="0021264F" w:rsidRDefault="0021264F" w:rsidP="0021264F">
      <w:pPr>
        <w:spacing w:line="360" w:lineRule="atLeast"/>
        <w:ind w:firstLine="280"/>
        <w:jc w:val="both"/>
        <w:rPr>
          <w:sz w:val="20"/>
        </w:rPr>
      </w:pPr>
      <w:r>
        <w:rPr>
          <w:b/>
          <w:sz w:val="20"/>
        </w:rPr>
        <w:t xml:space="preserve">DICTIONNAIRE DU MARCHÉ COMMUN, </w:t>
      </w:r>
      <w:r>
        <w:rPr>
          <w:sz w:val="20"/>
        </w:rPr>
        <w:t>Joly, Paris.</w:t>
      </w:r>
    </w:p>
    <w:p w:rsidR="0021264F" w:rsidRDefault="0021264F" w:rsidP="0021264F">
      <w:pPr>
        <w:ind w:firstLine="280"/>
        <w:jc w:val="both"/>
        <w:rPr>
          <w:sz w:val="20"/>
        </w:rPr>
      </w:pPr>
      <w:r>
        <w:rPr>
          <w:b/>
          <w:sz w:val="20"/>
        </w:rPr>
        <w:t xml:space="preserve">CONSTANTINESCO et autres </w:t>
      </w:r>
      <w:r>
        <w:rPr>
          <w:sz w:val="20"/>
        </w:rPr>
        <w:t xml:space="preserve">(sous la direction de): "Traité instituant </w:t>
      </w:r>
      <w:smartTag w:uri="urn:schemas-microsoft-com:office:smarttags" w:element="PersonName">
        <w:smartTagPr>
          <w:attr w:name="ProductID" w:val="la CEE. Commentaire"/>
        </w:smartTagPr>
        <w:r>
          <w:rPr>
            <w:sz w:val="20"/>
          </w:rPr>
          <w:t>la CEE. Commentaire</w:t>
        </w:r>
      </w:smartTag>
      <w:r>
        <w:rPr>
          <w:sz w:val="20"/>
        </w:rPr>
        <w:t xml:space="preserve"> articl</w:t>
      </w:r>
      <w:r w:rsidR="0025141E">
        <w:rPr>
          <w:sz w:val="20"/>
        </w:rPr>
        <w:t>e par article", Economica, 1992</w:t>
      </w:r>
    </w:p>
    <w:p w:rsidR="0021264F" w:rsidRDefault="0021264F" w:rsidP="0021264F">
      <w:pPr>
        <w:ind w:firstLine="280"/>
        <w:jc w:val="both"/>
        <w:rPr>
          <w:sz w:val="20"/>
        </w:rPr>
      </w:pPr>
      <w:r>
        <w:rPr>
          <w:sz w:val="20"/>
        </w:rPr>
        <w:t>et "Traité sur l'Union européenne. Commentaire articl</w:t>
      </w:r>
      <w:r w:rsidR="0025141E">
        <w:rPr>
          <w:sz w:val="20"/>
        </w:rPr>
        <w:t>e par article", Economica, 1995</w:t>
      </w:r>
    </w:p>
    <w:p w:rsidR="0021264F" w:rsidRDefault="0021264F" w:rsidP="0021264F">
      <w:pPr>
        <w:ind w:firstLine="280"/>
        <w:jc w:val="both"/>
        <w:rPr>
          <w:sz w:val="20"/>
        </w:rPr>
      </w:pPr>
      <w:r>
        <w:rPr>
          <w:b/>
          <w:sz w:val="20"/>
        </w:rPr>
        <w:t>COMMENTAIRE DU TECE</w:t>
      </w:r>
      <w:r>
        <w:rPr>
          <w:sz w:val="20"/>
        </w:rPr>
        <w:t>, sous la direction de F. Picod,</w:t>
      </w:r>
      <w:r w:rsidR="00CD05E9">
        <w:rPr>
          <w:sz w:val="20"/>
        </w:rPr>
        <w:t xml:space="preserve"> A. Levade, L. Burgorgue-Larsen</w:t>
      </w:r>
      <w:r>
        <w:rPr>
          <w:sz w:val="20"/>
        </w:rPr>
        <w:t xml:space="preserve"> </w:t>
      </w:r>
    </w:p>
    <w:p w:rsidR="0021264F" w:rsidRDefault="0021264F" w:rsidP="0021264F">
      <w:pPr>
        <w:tabs>
          <w:tab w:val="left" w:pos="1320"/>
        </w:tabs>
        <w:spacing w:line="360" w:lineRule="atLeast"/>
        <w:ind w:firstLine="280"/>
        <w:jc w:val="both"/>
        <w:rPr>
          <w:b/>
          <w:sz w:val="20"/>
          <w:u w:val="single"/>
        </w:rPr>
      </w:pPr>
    </w:p>
    <w:p w:rsidR="0021264F" w:rsidRPr="00E808B6" w:rsidRDefault="0021264F" w:rsidP="0021264F">
      <w:pPr>
        <w:tabs>
          <w:tab w:val="left" w:pos="1320"/>
        </w:tabs>
        <w:spacing w:line="360" w:lineRule="atLeast"/>
        <w:jc w:val="both"/>
        <w:rPr>
          <w:b/>
          <w:szCs w:val="24"/>
          <w:u w:val="single"/>
        </w:rPr>
      </w:pPr>
      <w:r w:rsidRPr="00E808B6">
        <w:rPr>
          <w:b/>
          <w:szCs w:val="24"/>
          <w:u w:val="single"/>
        </w:rPr>
        <w:t>Revues</w:t>
      </w:r>
    </w:p>
    <w:p w:rsidR="0021264F" w:rsidRDefault="0021264F" w:rsidP="0021264F">
      <w:pPr>
        <w:tabs>
          <w:tab w:val="left" w:pos="1320"/>
        </w:tabs>
        <w:spacing w:line="360" w:lineRule="atLeast"/>
        <w:ind w:firstLine="280"/>
        <w:jc w:val="both"/>
        <w:rPr>
          <w:sz w:val="20"/>
        </w:rPr>
      </w:pPr>
      <w:r>
        <w:rPr>
          <w:b/>
          <w:sz w:val="20"/>
        </w:rPr>
        <w:t xml:space="preserve">CDE, </w:t>
      </w:r>
      <w:r>
        <w:rPr>
          <w:sz w:val="20"/>
        </w:rPr>
        <w:t>Cah</w:t>
      </w:r>
      <w:r w:rsidR="0025141E">
        <w:rPr>
          <w:sz w:val="20"/>
        </w:rPr>
        <w:t>iers du droit européen</w:t>
      </w:r>
    </w:p>
    <w:p w:rsidR="0021264F" w:rsidRDefault="0021264F" w:rsidP="0021264F">
      <w:pPr>
        <w:tabs>
          <w:tab w:val="left" w:pos="1320"/>
        </w:tabs>
        <w:spacing w:line="360" w:lineRule="atLeast"/>
        <w:ind w:firstLine="280"/>
        <w:jc w:val="both"/>
        <w:rPr>
          <w:sz w:val="20"/>
        </w:rPr>
      </w:pPr>
      <w:r>
        <w:rPr>
          <w:b/>
          <w:sz w:val="20"/>
        </w:rPr>
        <w:t xml:space="preserve">RTDE, </w:t>
      </w:r>
      <w:r>
        <w:rPr>
          <w:sz w:val="20"/>
        </w:rPr>
        <w:t>Revue trimestrielle de droit européen</w:t>
      </w:r>
    </w:p>
    <w:p w:rsidR="0021264F" w:rsidRPr="003A711C" w:rsidRDefault="0021264F" w:rsidP="0021264F">
      <w:pPr>
        <w:tabs>
          <w:tab w:val="left" w:pos="1320"/>
        </w:tabs>
        <w:spacing w:line="360" w:lineRule="atLeast"/>
        <w:ind w:firstLine="280"/>
        <w:jc w:val="both"/>
        <w:rPr>
          <w:b/>
          <w:sz w:val="20"/>
        </w:rPr>
      </w:pPr>
      <w:r>
        <w:rPr>
          <w:b/>
          <w:sz w:val="20"/>
        </w:rPr>
        <w:t xml:space="preserve">RMC, </w:t>
      </w:r>
      <w:r>
        <w:rPr>
          <w:sz w:val="20"/>
        </w:rPr>
        <w:t>Revue du marché commun et de l'Union européenne</w:t>
      </w:r>
      <w:r w:rsidR="003A711C">
        <w:rPr>
          <w:sz w:val="20"/>
        </w:rPr>
        <w:t xml:space="preserve">, devenue </w:t>
      </w:r>
      <w:r w:rsidR="003A711C">
        <w:rPr>
          <w:b/>
          <w:sz w:val="20"/>
        </w:rPr>
        <w:t xml:space="preserve">RUE, </w:t>
      </w:r>
      <w:r w:rsidR="003A711C" w:rsidRPr="005D3EC1">
        <w:rPr>
          <w:sz w:val="20"/>
        </w:rPr>
        <w:t xml:space="preserve">Revue </w:t>
      </w:r>
      <w:r w:rsidR="005D3EC1" w:rsidRPr="005D3EC1">
        <w:rPr>
          <w:sz w:val="20"/>
        </w:rPr>
        <w:t>de l’Union européenne</w:t>
      </w:r>
    </w:p>
    <w:p w:rsidR="0021264F" w:rsidRDefault="0021264F" w:rsidP="0021264F">
      <w:pPr>
        <w:tabs>
          <w:tab w:val="left" w:pos="1320"/>
        </w:tabs>
        <w:spacing w:line="360" w:lineRule="atLeast"/>
        <w:ind w:firstLine="280"/>
        <w:jc w:val="both"/>
        <w:rPr>
          <w:b/>
          <w:sz w:val="20"/>
        </w:rPr>
      </w:pPr>
      <w:r>
        <w:rPr>
          <w:rFonts w:ascii="Times" w:hAnsi="Times" w:cs="Times"/>
          <w:b/>
          <w:sz w:val="20"/>
        </w:rPr>
        <w:t>RDUE</w:t>
      </w:r>
      <w:r>
        <w:rPr>
          <w:rFonts w:ascii="Times" w:hAnsi="Times" w:cs="Times"/>
          <w:sz w:val="20"/>
        </w:rPr>
        <w:t>,.Revue du droit de l'Union européenne</w:t>
      </w:r>
    </w:p>
    <w:p w:rsidR="0021264F" w:rsidRDefault="0021264F" w:rsidP="0021264F">
      <w:pPr>
        <w:tabs>
          <w:tab w:val="left" w:pos="1320"/>
        </w:tabs>
        <w:spacing w:line="360" w:lineRule="atLeast"/>
        <w:ind w:firstLine="280"/>
        <w:jc w:val="both"/>
        <w:rPr>
          <w:sz w:val="20"/>
        </w:rPr>
      </w:pPr>
      <w:bookmarkStart w:id="0" w:name="_GoBack"/>
      <w:r>
        <w:rPr>
          <w:b/>
          <w:sz w:val="20"/>
        </w:rPr>
        <w:t xml:space="preserve">RAE, </w:t>
      </w:r>
      <w:r w:rsidR="0025141E">
        <w:rPr>
          <w:sz w:val="20"/>
        </w:rPr>
        <w:t>Revue des affaires européennes</w:t>
      </w:r>
    </w:p>
    <w:bookmarkEnd w:id="0"/>
    <w:p w:rsidR="0021264F" w:rsidRDefault="0021264F" w:rsidP="0021264F">
      <w:pPr>
        <w:tabs>
          <w:tab w:val="left" w:pos="1320"/>
        </w:tabs>
        <w:spacing w:line="360" w:lineRule="atLeast"/>
        <w:ind w:firstLine="280"/>
        <w:jc w:val="both"/>
        <w:rPr>
          <w:b/>
          <w:sz w:val="20"/>
        </w:rPr>
      </w:pPr>
      <w:r>
        <w:rPr>
          <w:b/>
          <w:sz w:val="20"/>
        </w:rPr>
        <w:t>EUROPE</w:t>
      </w:r>
    </w:p>
    <w:p w:rsidR="005260A1" w:rsidRPr="005260A1" w:rsidRDefault="005260A1" w:rsidP="0021264F">
      <w:pPr>
        <w:tabs>
          <w:tab w:val="left" w:pos="1320"/>
        </w:tabs>
        <w:spacing w:line="360" w:lineRule="atLeast"/>
        <w:ind w:firstLine="280"/>
        <w:jc w:val="both"/>
        <w:rPr>
          <w:sz w:val="20"/>
        </w:rPr>
      </w:pPr>
      <w:r>
        <w:rPr>
          <w:b/>
          <w:sz w:val="20"/>
        </w:rPr>
        <w:t xml:space="preserve">JDE, </w:t>
      </w:r>
      <w:r w:rsidRPr="005260A1">
        <w:rPr>
          <w:sz w:val="20"/>
        </w:rPr>
        <w:t>Journal de droit européen</w:t>
      </w:r>
    </w:p>
    <w:p w:rsidR="0021264F" w:rsidRPr="003C5063" w:rsidRDefault="0021264F" w:rsidP="0021264F">
      <w:pPr>
        <w:tabs>
          <w:tab w:val="left" w:pos="1320"/>
        </w:tabs>
        <w:spacing w:line="360" w:lineRule="atLeast"/>
        <w:ind w:firstLine="280"/>
        <w:jc w:val="both"/>
        <w:rPr>
          <w:sz w:val="20"/>
        </w:rPr>
      </w:pPr>
      <w:r>
        <w:rPr>
          <w:b/>
          <w:sz w:val="20"/>
        </w:rPr>
        <w:t xml:space="preserve">ADE, </w:t>
      </w:r>
      <w:r>
        <w:rPr>
          <w:sz w:val="20"/>
        </w:rPr>
        <w:t xml:space="preserve">Annuaire de droit </w:t>
      </w:r>
      <w:r w:rsidR="00C8288E">
        <w:rPr>
          <w:sz w:val="20"/>
        </w:rPr>
        <w:t xml:space="preserve">de l’Union </w:t>
      </w:r>
      <w:r>
        <w:rPr>
          <w:sz w:val="20"/>
        </w:rPr>
        <w:t>européen</w:t>
      </w:r>
      <w:r w:rsidR="00C8288E">
        <w:rPr>
          <w:sz w:val="20"/>
        </w:rPr>
        <w:t>ne</w:t>
      </w:r>
    </w:p>
    <w:p w:rsidR="0021264F" w:rsidRDefault="0021264F" w:rsidP="0021264F">
      <w:pPr>
        <w:jc w:val="both"/>
        <w:rPr>
          <w:b/>
        </w:rPr>
      </w:pPr>
    </w:p>
    <w:p w:rsidR="0021264F" w:rsidRDefault="0021264F" w:rsidP="0021264F">
      <w:pPr>
        <w:jc w:val="both"/>
        <w:rPr>
          <w:b/>
          <w:u w:val="single"/>
        </w:rPr>
      </w:pPr>
      <w:r>
        <w:rPr>
          <w:b/>
          <w:u w:val="single"/>
        </w:rPr>
        <w:t>Sites Internet</w:t>
      </w:r>
    </w:p>
    <w:p w:rsidR="0021264F" w:rsidRDefault="0021264F" w:rsidP="00791204">
      <w:pPr>
        <w:spacing w:after="120"/>
        <w:ind w:firstLine="284"/>
        <w:jc w:val="both"/>
      </w:pPr>
      <w:r>
        <w:t>Europa-Le portail de l’Union européenne</w:t>
      </w:r>
    </w:p>
    <w:p w:rsidR="0021264F" w:rsidRDefault="0021264F" w:rsidP="00791204">
      <w:pPr>
        <w:spacing w:after="120"/>
        <w:ind w:firstLine="284"/>
        <w:jc w:val="both"/>
      </w:pPr>
      <w:r>
        <w:t>EUR-Lex</w:t>
      </w:r>
      <w:r w:rsidR="00170A43">
        <w:t>, droit de l’UE</w:t>
      </w:r>
    </w:p>
    <w:p w:rsidR="0021264F" w:rsidRPr="00B449C8" w:rsidRDefault="0021264F" w:rsidP="00791204">
      <w:pPr>
        <w:spacing w:after="120"/>
        <w:ind w:firstLine="284"/>
        <w:jc w:val="both"/>
      </w:pPr>
      <w:r>
        <w:t>CURIA</w:t>
      </w:r>
      <w:r w:rsidR="0025141E">
        <w:t>, site dela CJUE</w:t>
      </w:r>
    </w:p>
    <w:p w:rsidR="00D96AA5" w:rsidRDefault="00D96AA5"/>
    <w:sectPr w:rsidR="00D96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4F"/>
    <w:rsid w:val="00013A2D"/>
    <w:rsid w:val="000565BE"/>
    <w:rsid w:val="000E7B4B"/>
    <w:rsid w:val="00170A43"/>
    <w:rsid w:val="00190230"/>
    <w:rsid w:val="00205100"/>
    <w:rsid w:val="0021264F"/>
    <w:rsid w:val="00223AC3"/>
    <w:rsid w:val="0025141E"/>
    <w:rsid w:val="002F5489"/>
    <w:rsid w:val="00394440"/>
    <w:rsid w:val="003A711C"/>
    <w:rsid w:val="004516E8"/>
    <w:rsid w:val="00493222"/>
    <w:rsid w:val="004C7E4A"/>
    <w:rsid w:val="00502229"/>
    <w:rsid w:val="005260A1"/>
    <w:rsid w:val="005D3EC1"/>
    <w:rsid w:val="005E42C1"/>
    <w:rsid w:val="00641C51"/>
    <w:rsid w:val="00642550"/>
    <w:rsid w:val="00791204"/>
    <w:rsid w:val="007A16B2"/>
    <w:rsid w:val="007A7424"/>
    <w:rsid w:val="007B54B2"/>
    <w:rsid w:val="00811DE9"/>
    <w:rsid w:val="008E7A4F"/>
    <w:rsid w:val="00912B8E"/>
    <w:rsid w:val="009E128A"/>
    <w:rsid w:val="00A276AB"/>
    <w:rsid w:val="00A962E8"/>
    <w:rsid w:val="00C17255"/>
    <w:rsid w:val="00C5511F"/>
    <w:rsid w:val="00C8288E"/>
    <w:rsid w:val="00CD05E9"/>
    <w:rsid w:val="00D20D2B"/>
    <w:rsid w:val="00D67C08"/>
    <w:rsid w:val="00D96AA5"/>
    <w:rsid w:val="00DA048E"/>
    <w:rsid w:val="00E84958"/>
    <w:rsid w:val="00EA6A0B"/>
    <w:rsid w:val="00F660F9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2F662-4DF1-4438-9EF2-44DBD595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64F"/>
    <w:pPr>
      <w:spacing w:after="0" w:line="240" w:lineRule="auto"/>
    </w:pPr>
    <w:rPr>
      <w:rFonts w:ascii="New York" w:eastAsia="Times New Roman" w:hAnsi="New York" w:cs="Times New Roman"/>
      <w:noProof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rsid w:val="0021264F"/>
    <w:pPr>
      <w:tabs>
        <w:tab w:val="right" w:leader="dot" w:pos="9062"/>
      </w:tabs>
      <w:spacing w:after="200" w:line="276" w:lineRule="auto"/>
      <w:jc w:val="center"/>
    </w:pPr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TitreCar">
    <w:name w:val="Titre Car"/>
    <w:basedOn w:val="Policepardfaut"/>
    <w:link w:val="Titre"/>
    <w:locked/>
    <w:rsid w:val="0021264F"/>
    <w:rPr>
      <w:rFonts w:ascii="Cambria" w:hAnsi="Cambria"/>
      <w:color w:val="17365D"/>
      <w:spacing w:val="5"/>
      <w:kern w:val="28"/>
      <w:sz w:val="52"/>
      <w:szCs w:val="52"/>
    </w:rPr>
  </w:style>
  <w:style w:type="paragraph" w:styleId="Titre">
    <w:name w:val="Title"/>
    <w:basedOn w:val="Normal"/>
    <w:next w:val="Normal"/>
    <w:link w:val="TitreCar"/>
    <w:qFormat/>
    <w:rsid w:val="0021264F"/>
    <w:pPr>
      <w:pBdr>
        <w:bottom w:val="single" w:sz="8" w:space="4" w:color="4F81BD"/>
      </w:pBdr>
      <w:spacing w:after="300"/>
      <w:contextualSpacing/>
    </w:pPr>
    <w:rPr>
      <w:rFonts w:ascii="Cambria" w:eastAsiaTheme="minorHAnsi" w:hAnsi="Cambria" w:cstheme="minorBidi"/>
      <w:noProof w:val="0"/>
      <w:color w:val="17365D"/>
      <w:spacing w:val="5"/>
      <w:kern w:val="28"/>
      <w:sz w:val="52"/>
      <w:szCs w:val="52"/>
      <w:lang w:eastAsia="en-US"/>
    </w:rPr>
  </w:style>
  <w:style w:type="character" w:customStyle="1" w:styleId="TitreCar1">
    <w:name w:val="Titre Car1"/>
    <w:basedOn w:val="Policepardfaut"/>
    <w:uiPriority w:val="10"/>
    <w:rsid w:val="0021264F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Francette Fines</dc:creator>
  <cp:keywords/>
  <dc:description/>
  <cp:lastModifiedBy>Francette Fines</cp:lastModifiedBy>
  <cp:revision>43</cp:revision>
  <dcterms:created xsi:type="dcterms:W3CDTF">2015-01-25T20:24:00Z</dcterms:created>
  <dcterms:modified xsi:type="dcterms:W3CDTF">2015-01-27T09:11:00Z</dcterms:modified>
</cp:coreProperties>
</file>