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4DE3" w14:textId="77777777" w:rsidR="009406C6" w:rsidRPr="009406C6" w:rsidRDefault="009406C6" w:rsidP="006D0A93">
      <w:pPr>
        <w:jc w:val="center"/>
        <w:rPr>
          <w:b/>
        </w:rPr>
      </w:pPr>
      <w:r w:rsidRPr="009406C6">
        <w:rPr>
          <w:b/>
        </w:rPr>
        <w:t>DROIT EUROPEEN DES DROITS DE L’HOMME</w:t>
      </w:r>
    </w:p>
    <w:p w14:paraId="75C74E18" w14:textId="35D1916B" w:rsidR="002212A1" w:rsidRDefault="002212A1" w:rsidP="008822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2212A1">
        <w:rPr>
          <w:rFonts w:ascii="Times New Roman" w:hAnsi="Times New Roman"/>
          <w:b/>
          <w:sz w:val="24"/>
          <w:szCs w:val="24"/>
        </w:rPr>
        <w:t>Bibliograhie</w:t>
      </w:r>
      <w:proofErr w:type="spellEnd"/>
      <w:r w:rsidRPr="002212A1">
        <w:rPr>
          <w:rFonts w:ascii="Times New Roman" w:hAnsi="Times New Roman"/>
          <w:b/>
          <w:sz w:val="24"/>
          <w:szCs w:val="24"/>
        </w:rPr>
        <w:t xml:space="preserve"> : </w:t>
      </w:r>
    </w:p>
    <w:p w14:paraId="43C48FB6" w14:textId="77777777" w:rsidR="00FA7F94" w:rsidRPr="002212A1" w:rsidRDefault="00FA7F94" w:rsidP="008822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0BEC25" w14:textId="48561514" w:rsidR="002212A1" w:rsidRPr="00063840" w:rsidRDefault="002212A1" w:rsidP="00CB1527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3840">
        <w:rPr>
          <w:rFonts w:ascii="Times New Roman" w:hAnsi="Times New Roman"/>
          <w:bCs/>
          <w:sz w:val="24"/>
          <w:szCs w:val="24"/>
        </w:rPr>
        <w:t xml:space="preserve">Droit européen des droits de l’homme </w:t>
      </w:r>
      <w:proofErr w:type="spellStart"/>
      <w:r w:rsidRPr="00063840">
        <w:rPr>
          <w:rFonts w:ascii="Times New Roman" w:hAnsi="Times New Roman"/>
          <w:bCs/>
          <w:sz w:val="24"/>
          <w:szCs w:val="24"/>
        </w:rPr>
        <w:t>Syrey</w:t>
      </w:r>
      <w:proofErr w:type="spellEnd"/>
      <w:r w:rsidRPr="00063840">
        <w:rPr>
          <w:rFonts w:ascii="Times New Roman" w:hAnsi="Times New Roman"/>
          <w:bCs/>
          <w:sz w:val="24"/>
          <w:szCs w:val="24"/>
        </w:rPr>
        <w:t xml:space="preserve"> Gauthier, Platon </w:t>
      </w:r>
      <w:proofErr w:type="spellStart"/>
      <w:r w:rsidRPr="00063840">
        <w:rPr>
          <w:rFonts w:ascii="Times New Roman" w:hAnsi="Times New Roman"/>
          <w:bCs/>
          <w:sz w:val="24"/>
          <w:szCs w:val="24"/>
        </w:rPr>
        <w:t>Szymczak</w:t>
      </w:r>
      <w:proofErr w:type="spellEnd"/>
      <w:r w:rsidRPr="00063840">
        <w:rPr>
          <w:rFonts w:ascii="Times New Roman" w:hAnsi="Times New Roman"/>
          <w:bCs/>
          <w:sz w:val="24"/>
          <w:szCs w:val="24"/>
        </w:rPr>
        <w:t xml:space="preserve"> 2014</w:t>
      </w:r>
    </w:p>
    <w:p w14:paraId="366F4A58" w14:textId="409A6E34" w:rsidR="002212A1" w:rsidRPr="00063840" w:rsidRDefault="008822CB" w:rsidP="008822C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3840">
        <w:rPr>
          <w:rFonts w:ascii="Times New Roman" w:hAnsi="Times New Roman"/>
          <w:bCs/>
          <w:sz w:val="24"/>
          <w:szCs w:val="24"/>
        </w:rPr>
        <w:t>F. Sudre (</w:t>
      </w:r>
      <w:proofErr w:type="spellStart"/>
      <w:r w:rsidRPr="00063840">
        <w:rPr>
          <w:rFonts w:ascii="Times New Roman" w:hAnsi="Times New Roman"/>
          <w:bCs/>
          <w:sz w:val="24"/>
          <w:szCs w:val="24"/>
        </w:rPr>
        <w:t>dir</w:t>
      </w:r>
      <w:proofErr w:type="spellEnd"/>
      <w:r w:rsidRPr="00063840">
        <w:rPr>
          <w:rFonts w:ascii="Times New Roman" w:hAnsi="Times New Roman"/>
          <w:bCs/>
          <w:sz w:val="24"/>
          <w:szCs w:val="24"/>
        </w:rPr>
        <w:t>.), Les grands arrêts de la Cour européenne des droits de l’homme,</w:t>
      </w:r>
      <w:r w:rsidR="002212A1" w:rsidRPr="00063840">
        <w:rPr>
          <w:rFonts w:ascii="Times New Roman" w:hAnsi="Times New Roman"/>
          <w:bCs/>
          <w:sz w:val="24"/>
          <w:szCs w:val="24"/>
        </w:rPr>
        <w:t xml:space="preserve"> PUF 9</w:t>
      </w:r>
      <w:r w:rsidR="002212A1" w:rsidRPr="00063840">
        <w:rPr>
          <w:rFonts w:ascii="Times New Roman" w:hAnsi="Times New Roman"/>
          <w:bCs/>
          <w:sz w:val="24"/>
          <w:szCs w:val="24"/>
          <w:vertAlign w:val="superscript"/>
        </w:rPr>
        <w:t>ème</w:t>
      </w:r>
      <w:r w:rsidR="002212A1" w:rsidRPr="00063840">
        <w:rPr>
          <w:rFonts w:ascii="Times New Roman" w:hAnsi="Times New Roman"/>
          <w:bCs/>
          <w:sz w:val="24"/>
          <w:szCs w:val="24"/>
        </w:rPr>
        <w:t xml:space="preserve"> éd., 20</w:t>
      </w:r>
      <w:r w:rsidR="00243D74">
        <w:rPr>
          <w:rFonts w:ascii="Times New Roman" w:hAnsi="Times New Roman"/>
          <w:bCs/>
          <w:sz w:val="24"/>
          <w:szCs w:val="24"/>
        </w:rPr>
        <w:t>22</w:t>
      </w:r>
    </w:p>
    <w:p w14:paraId="1DCA93DE" w14:textId="25AAFF83" w:rsidR="00CB1527" w:rsidRPr="00063840" w:rsidRDefault="00CB1527" w:rsidP="008822C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3840">
        <w:rPr>
          <w:rFonts w:ascii="Times New Roman" w:hAnsi="Times New Roman"/>
          <w:bCs/>
          <w:sz w:val="24"/>
          <w:szCs w:val="24"/>
        </w:rPr>
        <w:t xml:space="preserve">F. Sudre, L. Milano et H. Surrel, Droit européen et international des droits de l’homme, </w:t>
      </w:r>
      <w:r w:rsidR="00063840" w:rsidRPr="00063840">
        <w:rPr>
          <w:rFonts w:ascii="Times New Roman" w:hAnsi="Times New Roman"/>
          <w:bCs/>
          <w:sz w:val="24"/>
          <w:szCs w:val="24"/>
        </w:rPr>
        <w:t>PUF 14</w:t>
      </w:r>
      <w:r w:rsidR="00063840" w:rsidRPr="00063840">
        <w:rPr>
          <w:rFonts w:ascii="Times New Roman" w:hAnsi="Times New Roman"/>
          <w:bCs/>
          <w:sz w:val="24"/>
          <w:szCs w:val="24"/>
          <w:vertAlign w:val="superscript"/>
        </w:rPr>
        <w:t>ème</w:t>
      </w:r>
      <w:r w:rsidR="00063840" w:rsidRPr="00063840">
        <w:rPr>
          <w:rFonts w:ascii="Times New Roman" w:hAnsi="Times New Roman"/>
          <w:bCs/>
          <w:sz w:val="24"/>
          <w:szCs w:val="24"/>
        </w:rPr>
        <w:t xml:space="preserve"> éd., 20</w:t>
      </w:r>
      <w:r w:rsidR="008263C2">
        <w:rPr>
          <w:rFonts w:ascii="Times New Roman" w:hAnsi="Times New Roman"/>
          <w:bCs/>
          <w:sz w:val="24"/>
          <w:szCs w:val="24"/>
        </w:rPr>
        <w:t>21</w:t>
      </w:r>
    </w:p>
    <w:p w14:paraId="3579739B" w14:textId="628910D8" w:rsidR="00063840" w:rsidRPr="00063840" w:rsidRDefault="00063840" w:rsidP="008822C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3840">
        <w:rPr>
          <w:rFonts w:ascii="Times New Roman" w:hAnsi="Times New Roman"/>
          <w:bCs/>
          <w:sz w:val="24"/>
          <w:szCs w:val="24"/>
        </w:rPr>
        <w:t>F. Sudre A propos du dynamisme interprétatif de la Cour européenne des droits de l'homme JCP 2001 I 335</w:t>
      </w:r>
    </w:p>
    <w:p w14:paraId="3F580C6E" w14:textId="785A2886" w:rsidR="00063840" w:rsidRPr="00063840" w:rsidRDefault="00063840" w:rsidP="008822C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3840">
        <w:rPr>
          <w:rFonts w:ascii="Times New Roman" w:hAnsi="Times New Roman"/>
          <w:bCs/>
          <w:sz w:val="24"/>
          <w:szCs w:val="24"/>
        </w:rPr>
        <w:t xml:space="preserve">F. Sudre, </w:t>
      </w:r>
      <w:r w:rsidR="00CD6F1D" w:rsidRPr="00CD6F1D">
        <w:rPr>
          <w:rFonts w:ascii="Times New Roman" w:hAnsi="Times New Roman"/>
          <w:bCs/>
          <w:sz w:val="24"/>
          <w:szCs w:val="24"/>
        </w:rPr>
        <w:t>Le contrôle de proportionnalité de la Cour européenne des droits de l'homme. De quoi est-il question ? JCP 2017</w:t>
      </w:r>
      <w:r w:rsidR="00CD6F1D">
        <w:rPr>
          <w:rFonts w:ascii="Times New Roman" w:hAnsi="Times New Roman"/>
          <w:bCs/>
          <w:sz w:val="24"/>
          <w:szCs w:val="24"/>
        </w:rPr>
        <w:t xml:space="preserve"> </w:t>
      </w:r>
      <w:r w:rsidR="00FA7F94">
        <w:rPr>
          <w:rFonts w:ascii="Times New Roman" w:hAnsi="Times New Roman"/>
          <w:bCs/>
          <w:sz w:val="24"/>
          <w:szCs w:val="24"/>
        </w:rPr>
        <w:t>n°11 p. 502</w:t>
      </w:r>
      <w:r w:rsidR="00CD6F1D">
        <w:rPr>
          <w:rFonts w:ascii="Times New Roman" w:hAnsi="Times New Roman"/>
          <w:bCs/>
          <w:sz w:val="24"/>
          <w:szCs w:val="24"/>
        </w:rPr>
        <w:t xml:space="preserve"> </w:t>
      </w:r>
    </w:p>
    <w:p w14:paraId="51B44F5F" w14:textId="2FB58C63" w:rsidR="002212A1" w:rsidRPr="00801E86" w:rsidRDefault="002212A1" w:rsidP="002212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D8E61A" w14:textId="77777777" w:rsidR="00DA0807" w:rsidRPr="00801E86" w:rsidRDefault="00DA0807" w:rsidP="00DA0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1E86">
        <w:rPr>
          <w:rFonts w:ascii="Times New Roman" w:hAnsi="Times New Roman"/>
          <w:b/>
          <w:sz w:val="24"/>
          <w:szCs w:val="24"/>
        </w:rPr>
        <w:t>PARTIE 1 : LA GARANTIE DES DROITS</w:t>
      </w:r>
    </w:p>
    <w:p w14:paraId="36006244" w14:textId="77777777" w:rsidR="00DA0807" w:rsidRPr="00801E86" w:rsidRDefault="00DA0807" w:rsidP="00DA0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C696FB" w14:textId="77777777" w:rsidR="00DA0807" w:rsidRPr="00801E86" w:rsidRDefault="00DA0807" w:rsidP="00DA080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801E86">
        <w:rPr>
          <w:rFonts w:ascii="Times New Roman" w:hAnsi="Times New Roman"/>
          <w:sz w:val="24"/>
          <w:szCs w:val="24"/>
        </w:rPr>
        <w:tab/>
      </w:r>
      <w:r w:rsidRPr="00801E86">
        <w:rPr>
          <w:rFonts w:ascii="Times New Roman" w:hAnsi="Times New Roman"/>
          <w:b/>
          <w:sz w:val="24"/>
          <w:szCs w:val="24"/>
        </w:rPr>
        <w:t>Chapitre 1 : Les sources formelles du droit européen des droits de l’homme</w:t>
      </w:r>
    </w:p>
    <w:p w14:paraId="5B327ECD" w14:textId="77777777" w:rsidR="00DA0807" w:rsidRPr="00801E86" w:rsidRDefault="00DA0807" w:rsidP="00DA0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37559D" w14:textId="77777777" w:rsidR="00DA0807" w:rsidRDefault="00DA0807" w:rsidP="00DA080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801E86">
        <w:rPr>
          <w:rFonts w:ascii="Times New Roman" w:hAnsi="Times New Roman"/>
          <w:b/>
          <w:sz w:val="24"/>
          <w:szCs w:val="24"/>
        </w:rPr>
        <w:t>Section 1 : L’économie de la Convention européenne des droits de l’homme</w:t>
      </w:r>
    </w:p>
    <w:p w14:paraId="54DC4B64" w14:textId="77777777" w:rsidR="00DA0807" w:rsidRPr="00C35078" w:rsidRDefault="00DA0807" w:rsidP="00DA0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5078">
        <w:rPr>
          <w:rFonts w:ascii="Times New Roman" w:hAnsi="Times New Roman"/>
          <w:sz w:val="24"/>
          <w:szCs w:val="24"/>
        </w:rPr>
        <w:t>§1 : Le traité originaire</w:t>
      </w:r>
    </w:p>
    <w:p w14:paraId="22450FA0" w14:textId="77777777" w:rsidR="00DA0807" w:rsidRPr="00C35078" w:rsidRDefault="00DA0807" w:rsidP="00DA0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5078">
        <w:rPr>
          <w:rFonts w:ascii="Times New Roman" w:hAnsi="Times New Roman"/>
          <w:sz w:val="24"/>
          <w:szCs w:val="24"/>
        </w:rPr>
        <w:t>§2 : Les protocoles</w:t>
      </w:r>
    </w:p>
    <w:p w14:paraId="4E752DDD" w14:textId="77777777" w:rsidR="00DA0807" w:rsidRPr="00C35078" w:rsidRDefault="00DA0807" w:rsidP="00DA080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5078">
        <w:rPr>
          <w:rFonts w:ascii="Times New Roman" w:hAnsi="Times New Roman"/>
          <w:sz w:val="24"/>
          <w:szCs w:val="24"/>
        </w:rPr>
        <w:t>A. Les protocoles relatifs au fond des droits garantis</w:t>
      </w:r>
    </w:p>
    <w:p w14:paraId="006D4EBB" w14:textId="53F63515" w:rsidR="00DA0807" w:rsidRDefault="00DA0807" w:rsidP="00DA080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826A3">
        <w:rPr>
          <w:rFonts w:ascii="Times New Roman" w:hAnsi="Times New Roman"/>
          <w:sz w:val="24"/>
          <w:szCs w:val="24"/>
        </w:rPr>
        <w:t>B. Les protocoles relatifs au système de contrôl</w:t>
      </w:r>
      <w:r w:rsidR="000026A6">
        <w:rPr>
          <w:rFonts w:ascii="Times New Roman" w:hAnsi="Times New Roman"/>
          <w:sz w:val="24"/>
          <w:szCs w:val="24"/>
        </w:rPr>
        <w:t>e</w:t>
      </w:r>
    </w:p>
    <w:p w14:paraId="7C720E6F" w14:textId="77777777" w:rsidR="00DA0807" w:rsidRPr="00801E86" w:rsidRDefault="00DA0807" w:rsidP="00DA080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801E86">
        <w:rPr>
          <w:rFonts w:ascii="Times New Roman" w:hAnsi="Times New Roman"/>
          <w:b/>
          <w:sz w:val="24"/>
          <w:szCs w:val="24"/>
        </w:rPr>
        <w:t>Section 2 : La spécificité normative de la Convention européenne des droits de l’homme</w:t>
      </w:r>
    </w:p>
    <w:p w14:paraId="3EA0A280" w14:textId="77777777" w:rsidR="00DA0807" w:rsidRPr="00801E86" w:rsidRDefault="00DA0807" w:rsidP="00DA08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proofErr w:type="gramStart"/>
      <w:r>
        <w:rPr>
          <w:rFonts w:ascii="Times New Roman" w:hAnsi="Times New Roman"/>
          <w:sz w:val="24"/>
          <w:szCs w:val="24"/>
        </w:rPr>
        <w:t>1:</w:t>
      </w:r>
      <w:proofErr w:type="gramEnd"/>
      <w:r w:rsidRPr="00801E86">
        <w:rPr>
          <w:rFonts w:ascii="Times New Roman" w:hAnsi="Times New Roman"/>
          <w:sz w:val="24"/>
          <w:szCs w:val="24"/>
        </w:rPr>
        <w:t xml:space="preserve"> L'objet du traité</w:t>
      </w:r>
    </w:p>
    <w:p w14:paraId="3386D65A" w14:textId="77777777" w:rsidR="00DA0807" w:rsidRDefault="00DA0807" w:rsidP="00DA08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</w:t>
      </w:r>
      <w:r w:rsidRPr="00801E86">
        <w:rPr>
          <w:rFonts w:ascii="Times New Roman" w:hAnsi="Times New Roman"/>
          <w:sz w:val="24"/>
          <w:szCs w:val="24"/>
        </w:rPr>
        <w:t xml:space="preserve"> L'a</w:t>
      </w:r>
      <w:r>
        <w:rPr>
          <w:rFonts w:ascii="Times New Roman" w:hAnsi="Times New Roman"/>
          <w:sz w:val="24"/>
          <w:szCs w:val="24"/>
        </w:rPr>
        <w:t>pplicabilité directe du traité</w:t>
      </w:r>
    </w:p>
    <w:p w14:paraId="56DA09F8" w14:textId="77777777" w:rsidR="00DA0807" w:rsidRPr="00801E86" w:rsidRDefault="00DA0807" w:rsidP="00DA0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BD4FAE" w14:textId="77777777" w:rsidR="00DA0807" w:rsidRPr="00801E86" w:rsidRDefault="00DA0807" w:rsidP="00DA080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801E86">
        <w:rPr>
          <w:rFonts w:ascii="Times New Roman" w:hAnsi="Times New Roman"/>
          <w:b/>
          <w:sz w:val="24"/>
          <w:szCs w:val="24"/>
        </w:rPr>
        <w:t>Chapitre 2 : Le contrôle judiciaire des droits de l’homme</w:t>
      </w:r>
    </w:p>
    <w:p w14:paraId="4AA67EDB" w14:textId="77777777" w:rsidR="00DA0807" w:rsidRPr="00801E86" w:rsidRDefault="00DA0807" w:rsidP="00DA080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801E86">
        <w:rPr>
          <w:rFonts w:ascii="Times New Roman" w:hAnsi="Times New Roman"/>
          <w:b/>
          <w:sz w:val="24"/>
          <w:szCs w:val="24"/>
        </w:rPr>
        <w:t>Section 1 : Le mécanisme de contrôle contenu dans la Convention européenne des droits de l’homme</w:t>
      </w:r>
    </w:p>
    <w:p w14:paraId="705D7DAF" w14:textId="77777777" w:rsidR="00DA0807" w:rsidRPr="00801E86" w:rsidRDefault="00DA0807" w:rsidP="00DA0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1E86">
        <w:rPr>
          <w:rFonts w:ascii="Times New Roman" w:hAnsi="Times New Roman"/>
          <w:sz w:val="24"/>
          <w:szCs w:val="24"/>
        </w:rPr>
        <w:t>§1 La composition de la Cour</w:t>
      </w:r>
    </w:p>
    <w:p w14:paraId="4DAB9284" w14:textId="77777777" w:rsidR="00DA0807" w:rsidRPr="00801E86" w:rsidRDefault="00DA0807" w:rsidP="00DA0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1E86">
        <w:rPr>
          <w:rFonts w:ascii="Times New Roman" w:hAnsi="Times New Roman"/>
          <w:sz w:val="24"/>
          <w:szCs w:val="24"/>
        </w:rPr>
        <w:t>§ 2 : La compétence de la cour européenne des droits de l’homme</w:t>
      </w:r>
    </w:p>
    <w:p w14:paraId="4A20BA2E" w14:textId="0C2C7738" w:rsidR="00DA0807" w:rsidRDefault="00DA0807" w:rsidP="00DA0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1E86">
        <w:rPr>
          <w:rFonts w:ascii="Times New Roman" w:hAnsi="Times New Roman"/>
          <w:sz w:val="24"/>
          <w:szCs w:val="24"/>
        </w:rPr>
        <w:t>§3 La procédure devant la Cour européenne des droits de l'homme</w:t>
      </w:r>
    </w:p>
    <w:p w14:paraId="64934396" w14:textId="03EB47F5" w:rsidR="00DA0807" w:rsidRPr="003346B2" w:rsidRDefault="00DA0807" w:rsidP="003346B2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46B2">
        <w:rPr>
          <w:rFonts w:ascii="Times New Roman" w:hAnsi="Times New Roman"/>
          <w:sz w:val="24"/>
          <w:szCs w:val="24"/>
        </w:rPr>
        <w:t>La saisine de la Cour</w:t>
      </w:r>
    </w:p>
    <w:p w14:paraId="740CD923" w14:textId="68A50EC4" w:rsidR="003346B2" w:rsidRDefault="003346B2" w:rsidP="003346B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346B2">
        <w:rPr>
          <w:rFonts w:ascii="Times New Roman" w:hAnsi="Times New Roman"/>
          <w:sz w:val="24"/>
          <w:szCs w:val="24"/>
        </w:rPr>
        <w:t>1° Les différentes requêtes</w:t>
      </w:r>
    </w:p>
    <w:p w14:paraId="11A9E12E" w14:textId="77777777" w:rsidR="00B957F9" w:rsidRPr="00B957F9" w:rsidRDefault="00B957F9" w:rsidP="00B957F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957F9">
        <w:rPr>
          <w:rFonts w:ascii="Times New Roman" w:hAnsi="Times New Roman"/>
          <w:sz w:val="24"/>
          <w:szCs w:val="24"/>
        </w:rPr>
        <w:t>2° La notion de victime</w:t>
      </w:r>
    </w:p>
    <w:p w14:paraId="404EF90D" w14:textId="77777777" w:rsidR="006C4466" w:rsidRPr="006C4466" w:rsidRDefault="006C4466" w:rsidP="006C44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C4466">
        <w:rPr>
          <w:rFonts w:ascii="Times New Roman" w:hAnsi="Times New Roman"/>
          <w:sz w:val="24"/>
          <w:szCs w:val="24"/>
        </w:rPr>
        <w:t>3° La représentation du requérant</w:t>
      </w:r>
    </w:p>
    <w:p w14:paraId="2A655F4D" w14:textId="0B59FB9E" w:rsidR="00DA0807" w:rsidRPr="00801E86" w:rsidRDefault="00DA0807" w:rsidP="00D92340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1E86">
        <w:rPr>
          <w:rFonts w:ascii="Times New Roman" w:hAnsi="Times New Roman"/>
          <w:sz w:val="24"/>
          <w:szCs w:val="24"/>
        </w:rPr>
        <w:t>La procédure de recevabilité</w:t>
      </w:r>
    </w:p>
    <w:p w14:paraId="0E05D189" w14:textId="77777777" w:rsidR="00DA0807" w:rsidRPr="00801E86" w:rsidRDefault="00DA0807" w:rsidP="00D92340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01E86">
        <w:rPr>
          <w:rFonts w:ascii="Times New Roman" w:hAnsi="Times New Roman"/>
          <w:sz w:val="24"/>
          <w:szCs w:val="24"/>
        </w:rPr>
        <w:t>1° Les conditions de recevabilité</w:t>
      </w:r>
    </w:p>
    <w:p w14:paraId="10442FF7" w14:textId="77777777" w:rsidR="00DA0807" w:rsidRPr="00801E86" w:rsidRDefault="00DA0807" w:rsidP="00DA080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1E86">
        <w:rPr>
          <w:rFonts w:ascii="Times New Roman" w:hAnsi="Times New Roman"/>
          <w:sz w:val="24"/>
          <w:szCs w:val="24"/>
        </w:rPr>
        <w:t>Condition de délai</w:t>
      </w:r>
    </w:p>
    <w:p w14:paraId="22F0DD3D" w14:textId="77777777" w:rsidR="00DA0807" w:rsidRPr="00801E86" w:rsidRDefault="00DA0807" w:rsidP="00DA080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1E86">
        <w:rPr>
          <w:rFonts w:ascii="Times New Roman" w:hAnsi="Times New Roman"/>
          <w:sz w:val="24"/>
          <w:szCs w:val="24"/>
        </w:rPr>
        <w:t>Condition d'épuisement des voies de recours interne</w:t>
      </w:r>
    </w:p>
    <w:p w14:paraId="0E412A24" w14:textId="0B2CC982" w:rsidR="00DA0807" w:rsidRDefault="00DA0807" w:rsidP="00DA0807">
      <w:pPr>
        <w:pStyle w:val="Retraitcorpsdetexte2"/>
        <w:numPr>
          <w:ilvl w:val="0"/>
          <w:numId w:val="4"/>
        </w:numPr>
        <w:spacing w:line="240" w:lineRule="auto"/>
        <w:jc w:val="both"/>
        <w:rPr>
          <w:szCs w:val="24"/>
        </w:rPr>
      </w:pPr>
      <w:r w:rsidRPr="00801E86">
        <w:rPr>
          <w:szCs w:val="24"/>
        </w:rPr>
        <w:t xml:space="preserve">Condition relative au </w:t>
      </w:r>
      <w:proofErr w:type="spellStart"/>
      <w:r w:rsidRPr="00801E86">
        <w:rPr>
          <w:szCs w:val="24"/>
        </w:rPr>
        <w:t>bien fondé</w:t>
      </w:r>
      <w:proofErr w:type="spellEnd"/>
      <w:r w:rsidRPr="00801E86">
        <w:rPr>
          <w:szCs w:val="24"/>
        </w:rPr>
        <w:t xml:space="preserve"> de la requête</w:t>
      </w:r>
    </w:p>
    <w:p w14:paraId="0C211C36" w14:textId="07BCA311" w:rsidR="00050EA8" w:rsidRDefault="00050EA8" w:rsidP="00D36C7E">
      <w:pPr>
        <w:pStyle w:val="Retraitcorpsdetexte2"/>
        <w:numPr>
          <w:ilvl w:val="0"/>
          <w:numId w:val="4"/>
        </w:numPr>
        <w:spacing w:line="240" w:lineRule="auto"/>
        <w:jc w:val="both"/>
        <w:rPr>
          <w:szCs w:val="24"/>
        </w:rPr>
      </w:pPr>
      <w:r w:rsidRPr="00050EA8">
        <w:rPr>
          <w:szCs w:val="24"/>
        </w:rPr>
        <w:t>La requête ne doit pas être abusive</w:t>
      </w:r>
    </w:p>
    <w:p w14:paraId="74FA66B0" w14:textId="77777777" w:rsidR="00DA0807" w:rsidRPr="00D36C7E" w:rsidRDefault="00DA0807" w:rsidP="00D36C7E">
      <w:pPr>
        <w:pStyle w:val="Retraitcorpsdetexte2"/>
        <w:numPr>
          <w:ilvl w:val="0"/>
          <w:numId w:val="4"/>
        </w:numPr>
        <w:spacing w:line="240" w:lineRule="auto"/>
        <w:jc w:val="both"/>
        <w:rPr>
          <w:szCs w:val="24"/>
        </w:rPr>
      </w:pPr>
      <w:r w:rsidRPr="00D36C7E">
        <w:rPr>
          <w:szCs w:val="24"/>
        </w:rPr>
        <w:t>Condition relative à l’intérêt de la requête</w:t>
      </w:r>
    </w:p>
    <w:p w14:paraId="72200781" w14:textId="370249C3" w:rsidR="00045F9A" w:rsidRPr="00801E86" w:rsidRDefault="00DA0807" w:rsidP="00045F9A">
      <w:pPr>
        <w:pStyle w:val="Retraitcorpsdetexte2"/>
        <w:spacing w:line="240" w:lineRule="auto"/>
        <w:jc w:val="both"/>
        <w:rPr>
          <w:szCs w:val="24"/>
        </w:rPr>
      </w:pPr>
      <w:r w:rsidRPr="00801E86">
        <w:rPr>
          <w:szCs w:val="24"/>
        </w:rPr>
        <w:t>2° Examen de la recevabilité</w:t>
      </w:r>
    </w:p>
    <w:p w14:paraId="75AFA867" w14:textId="77777777" w:rsidR="00DA0807" w:rsidRPr="00801E86" w:rsidRDefault="00DA0807" w:rsidP="00D92340">
      <w:pPr>
        <w:pStyle w:val="Retraitcorpsdetexte2"/>
        <w:numPr>
          <w:ilvl w:val="0"/>
          <w:numId w:val="5"/>
        </w:numPr>
        <w:spacing w:line="240" w:lineRule="auto"/>
        <w:jc w:val="both"/>
        <w:rPr>
          <w:szCs w:val="24"/>
        </w:rPr>
      </w:pPr>
      <w:r w:rsidRPr="00801E86">
        <w:rPr>
          <w:szCs w:val="24"/>
        </w:rPr>
        <w:t>L’examen au fond de la requête</w:t>
      </w:r>
    </w:p>
    <w:p w14:paraId="7480C3D1" w14:textId="14C00B05" w:rsidR="00045F9A" w:rsidRPr="00045F9A" w:rsidRDefault="00045F9A" w:rsidP="00045F9A">
      <w:pPr>
        <w:pStyle w:val="Retraitcorpsdetexte2"/>
        <w:numPr>
          <w:ilvl w:val="0"/>
          <w:numId w:val="5"/>
        </w:numPr>
        <w:spacing w:line="240" w:lineRule="auto"/>
        <w:jc w:val="both"/>
        <w:rPr>
          <w:szCs w:val="24"/>
        </w:rPr>
      </w:pPr>
      <w:r w:rsidRPr="00045F9A">
        <w:rPr>
          <w:szCs w:val="24"/>
        </w:rPr>
        <w:t>Les arrêts de la Cour européenne des droits de l’homme</w:t>
      </w:r>
    </w:p>
    <w:p w14:paraId="0AE51D5E" w14:textId="67664137" w:rsidR="00045F9A" w:rsidRDefault="00045F9A" w:rsidP="00045F9A">
      <w:pPr>
        <w:pStyle w:val="Retraitcorpsdetexte2"/>
        <w:spacing w:line="240" w:lineRule="auto"/>
        <w:jc w:val="both"/>
        <w:rPr>
          <w:szCs w:val="24"/>
        </w:rPr>
      </w:pPr>
      <w:r w:rsidRPr="00045F9A">
        <w:rPr>
          <w:szCs w:val="24"/>
        </w:rPr>
        <w:t>1° Caractéristiques générales</w:t>
      </w:r>
    </w:p>
    <w:p w14:paraId="58E0D543" w14:textId="34B1E880" w:rsidR="00012E14" w:rsidRPr="00045F9A" w:rsidRDefault="00012E14" w:rsidP="00012E14">
      <w:pPr>
        <w:pStyle w:val="Retraitcorpsdetexte2"/>
        <w:spacing w:line="240" w:lineRule="auto"/>
        <w:jc w:val="both"/>
        <w:rPr>
          <w:szCs w:val="24"/>
        </w:rPr>
      </w:pPr>
      <w:r w:rsidRPr="00012E14">
        <w:rPr>
          <w:szCs w:val="24"/>
        </w:rPr>
        <w:t>2° Structure de l’arrêt</w:t>
      </w:r>
    </w:p>
    <w:p w14:paraId="1BAA6F69" w14:textId="77777777" w:rsidR="00045F9A" w:rsidRDefault="00045F9A" w:rsidP="00DA080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025DACD0" w14:textId="77777777" w:rsidR="00243D74" w:rsidRPr="00801E86" w:rsidRDefault="00243D74" w:rsidP="00DA080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3956DAAC" w14:textId="77777777" w:rsidR="00DA0807" w:rsidRPr="00801E86" w:rsidRDefault="00DA0807" w:rsidP="00DA080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801E86">
        <w:rPr>
          <w:rFonts w:ascii="Times New Roman" w:hAnsi="Times New Roman"/>
          <w:b/>
          <w:sz w:val="24"/>
          <w:szCs w:val="24"/>
        </w:rPr>
        <w:lastRenderedPageBreak/>
        <w:t>Section 2 : La mise en œuvre du contrôle de la Cour européenne des droits de l’homme</w:t>
      </w:r>
    </w:p>
    <w:p w14:paraId="540FD2D9" w14:textId="77777777" w:rsidR="00DA0807" w:rsidRPr="00801E86" w:rsidRDefault="00DA0807" w:rsidP="00DA0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1E86">
        <w:rPr>
          <w:rFonts w:ascii="Times New Roman" w:hAnsi="Times New Roman"/>
          <w:sz w:val="24"/>
          <w:szCs w:val="24"/>
        </w:rPr>
        <w:t>§1 : Les technique d’interprétation de la Cour européenne des droits de l’homme</w:t>
      </w:r>
    </w:p>
    <w:p w14:paraId="1361DC48" w14:textId="77777777" w:rsidR="00DA0807" w:rsidRPr="00801E86" w:rsidRDefault="00DA0807" w:rsidP="00012E14">
      <w:pPr>
        <w:pStyle w:val="Retraitcorpsdetexte2"/>
        <w:spacing w:line="240" w:lineRule="auto"/>
        <w:ind w:left="284" w:firstLine="0"/>
        <w:jc w:val="both"/>
        <w:rPr>
          <w:szCs w:val="24"/>
        </w:rPr>
      </w:pPr>
      <w:r w:rsidRPr="00801E86">
        <w:rPr>
          <w:szCs w:val="24"/>
        </w:rPr>
        <w:t>A. Les techniques d'interprétation destinées à assurer l'effectivité de la Convention européenne des droits de l'homme</w:t>
      </w:r>
    </w:p>
    <w:p w14:paraId="2C4C60A4" w14:textId="77777777" w:rsidR="00DA0807" w:rsidRPr="0040266B" w:rsidRDefault="00DA0807" w:rsidP="0040266B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proofErr w:type="spellStart"/>
      <w:r w:rsidRPr="0040266B">
        <w:rPr>
          <w:i/>
          <w:iCs/>
          <w:szCs w:val="24"/>
        </w:rPr>
        <w:t>Airey</w:t>
      </w:r>
      <w:proofErr w:type="spellEnd"/>
      <w:r w:rsidRPr="0040266B">
        <w:rPr>
          <w:i/>
          <w:iCs/>
          <w:szCs w:val="24"/>
        </w:rPr>
        <w:t xml:space="preserve"> c Royaume Uni 9 octobre 1979</w:t>
      </w:r>
    </w:p>
    <w:p w14:paraId="09244D0C" w14:textId="77777777" w:rsidR="00DA0807" w:rsidRPr="00694CE2" w:rsidRDefault="00DA0807" w:rsidP="00694CE2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proofErr w:type="spellStart"/>
      <w:r w:rsidRPr="00694CE2">
        <w:rPr>
          <w:i/>
          <w:iCs/>
          <w:szCs w:val="24"/>
        </w:rPr>
        <w:t>Tyrer</w:t>
      </w:r>
      <w:proofErr w:type="spellEnd"/>
      <w:r w:rsidRPr="00694CE2">
        <w:rPr>
          <w:i/>
          <w:iCs/>
          <w:szCs w:val="24"/>
        </w:rPr>
        <w:t xml:space="preserve"> c Royaume Uni du 25 avril 1978</w:t>
      </w:r>
    </w:p>
    <w:p w14:paraId="50AC7430" w14:textId="69C1C9F1" w:rsidR="00DA0807" w:rsidRPr="00016477" w:rsidRDefault="00DA0807" w:rsidP="00694CE2">
      <w:pPr>
        <w:pStyle w:val="Retraitcorpsdetexte2"/>
        <w:spacing w:line="240" w:lineRule="auto"/>
        <w:ind w:firstLine="0"/>
        <w:jc w:val="both"/>
        <w:rPr>
          <w:b/>
          <w:bCs/>
          <w:i/>
          <w:iCs/>
          <w:szCs w:val="24"/>
        </w:rPr>
      </w:pPr>
      <w:proofErr w:type="spellStart"/>
      <w:r w:rsidRPr="00016477">
        <w:rPr>
          <w:b/>
          <w:bCs/>
          <w:i/>
          <w:iCs/>
          <w:szCs w:val="24"/>
        </w:rPr>
        <w:t>Marckx</w:t>
      </w:r>
      <w:proofErr w:type="spellEnd"/>
      <w:r w:rsidRPr="00016477">
        <w:rPr>
          <w:b/>
          <w:bCs/>
          <w:i/>
          <w:iCs/>
          <w:szCs w:val="24"/>
        </w:rPr>
        <w:t xml:space="preserve"> c/ Belgique du 13 juin 1979</w:t>
      </w:r>
      <w:r w:rsidR="00016477">
        <w:rPr>
          <w:b/>
          <w:bCs/>
          <w:i/>
          <w:iCs/>
          <w:szCs w:val="24"/>
        </w:rPr>
        <w:t xml:space="preserve">, </w:t>
      </w:r>
      <w:proofErr w:type="spellStart"/>
      <w:r w:rsidR="000F3A24">
        <w:rPr>
          <w:b/>
          <w:bCs/>
          <w:i/>
          <w:iCs/>
          <w:szCs w:val="24"/>
        </w:rPr>
        <w:t>req</w:t>
      </w:r>
      <w:proofErr w:type="spellEnd"/>
      <w:r w:rsidR="000F3A24">
        <w:rPr>
          <w:b/>
          <w:bCs/>
          <w:i/>
          <w:iCs/>
          <w:szCs w:val="24"/>
        </w:rPr>
        <w:t xml:space="preserve">. </w:t>
      </w:r>
      <w:proofErr w:type="gramStart"/>
      <w:r w:rsidR="000F3A24">
        <w:rPr>
          <w:b/>
          <w:bCs/>
          <w:i/>
          <w:iCs/>
          <w:szCs w:val="24"/>
        </w:rPr>
        <w:t>n</w:t>
      </w:r>
      <w:proofErr w:type="gramEnd"/>
      <w:r w:rsidR="000F3A24">
        <w:rPr>
          <w:b/>
          <w:bCs/>
          <w:i/>
          <w:iCs/>
          <w:szCs w:val="24"/>
        </w:rPr>
        <w:t>°6833/74</w:t>
      </w:r>
    </w:p>
    <w:p w14:paraId="02F24370" w14:textId="77777777" w:rsidR="00DA0807" w:rsidRPr="00694CE2" w:rsidRDefault="00DA0807" w:rsidP="00694CE2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proofErr w:type="gramStart"/>
      <w:r w:rsidRPr="00694CE2">
        <w:rPr>
          <w:i/>
          <w:iCs/>
          <w:szCs w:val="24"/>
        </w:rPr>
        <w:t>Chapman  c</w:t>
      </w:r>
      <w:proofErr w:type="gramEnd"/>
      <w:r w:rsidRPr="00694CE2">
        <w:rPr>
          <w:i/>
          <w:iCs/>
          <w:szCs w:val="24"/>
        </w:rPr>
        <w:t xml:space="preserve"> Royaume Uni du 18 janvier 2001 </w:t>
      </w:r>
    </w:p>
    <w:p w14:paraId="2311C5AE" w14:textId="469D4E2C" w:rsidR="00DA0807" w:rsidRPr="000F3A24" w:rsidRDefault="00DA0807" w:rsidP="006E6184">
      <w:pPr>
        <w:pStyle w:val="Retraitcorpsdetexte2"/>
        <w:spacing w:line="240" w:lineRule="auto"/>
        <w:ind w:firstLine="0"/>
        <w:jc w:val="both"/>
        <w:rPr>
          <w:b/>
          <w:bCs/>
          <w:i/>
          <w:iCs/>
          <w:szCs w:val="24"/>
        </w:rPr>
      </w:pPr>
      <w:r w:rsidRPr="000F3A24">
        <w:rPr>
          <w:b/>
          <w:bCs/>
          <w:i/>
          <w:iCs/>
          <w:szCs w:val="24"/>
        </w:rPr>
        <w:t>Goodwin c Royaume Uni du 11 juillet 2002</w:t>
      </w:r>
      <w:r w:rsidR="000E4F5B">
        <w:rPr>
          <w:b/>
          <w:bCs/>
          <w:i/>
          <w:iCs/>
          <w:szCs w:val="24"/>
        </w:rPr>
        <w:t xml:space="preserve">, </w:t>
      </w:r>
      <w:proofErr w:type="spellStart"/>
      <w:r w:rsidR="000E4F5B">
        <w:rPr>
          <w:b/>
          <w:bCs/>
          <w:i/>
          <w:iCs/>
          <w:szCs w:val="24"/>
        </w:rPr>
        <w:t>req</w:t>
      </w:r>
      <w:proofErr w:type="spellEnd"/>
      <w:r w:rsidR="000E4F5B">
        <w:rPr>
          <w:b/>
          <w:bCs/>
          <w:i/>
          <w:iCs/>
          <w:szCs w:val="24"/>
        </w:rPr>
        <w:t xml:space="preserve">. </w:t>
      </w:r>
      <w:proofErr w:type="gramStart"/>
      <w:r w:rsidR="000E4F5B">
        <w:rPr>
          <w:b/>
          <w:bCs/>
          <w:i/>
          <w:iCs/>
          <w:szCs w:val="24"/>
        </w:rPr>
        <w:t>n</w:t>
      </w:r>
      <w:proofErr w:type="gramEnd"/>
      <w:r w:rsidR="000E4F5B">
        <w:rPr>
          <w:b/>
          <w:bCs/>
          <w:i/>
          <w:iCs/>
          <w:szCs w:val="24"/>
        </w:rPr>
        <w:t>°</w:t>
      </w:r>
      <w:hyperlink r:id="rId5" w:anchor="{&quot;appno&quot;:[&quot;28957/95&quot;]}" w:tgtFrame="_blank" w:history="1">
        <w:r w:rsidR="000E4F5B" w:rsidRPr="000E4F5B">
          <w:rPr>
            <w:b/>
            <w:bCs/>
            <w:i/>
            <w:iCs/>
            <w:szCs w:val="24"/>
          </w:rPr>
          <w:t>28957/95</w:t>
        </w:r>
      </w:hyperlink>
    </w:p>
    <w:p w14:paraId="7BD95B35" w14:textId="77777777" w:rsidR="00DA0807" w:rsidRPr="00583DDC" w:rsidRDefault="00DA0807" w:rsidP="00583DDC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r w:rsidRPr="00583DDC">
        <w:rPr>
          <w:i/>
          <w:iCs/>
          <w:szCs w:val="24"/>
        </w:rPr>
        <w:t>Rees c. Royaume Uni, 17 oct. 1986,</w:t>
      </w:r>
    </w:p>
    <w:p w14:paraId="5C8CFD88" w14:textId="77777777" w:rsidR="00DA0807" w:rsidRPr="00583DDC" w:rsidRDefault="00DA0807" w:rsidP="00583DDC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proofErr w:type="spellStart"/>
      <w:r w:rsidRPr="00583DDC">
        <w:rPr>
          <w:i/>
          <w:iCs/>
          <w:szCs w:val="24"/>
        </w:rPr>
        <w:t>Cossey</w:t>
      </w:r>
      <w:proofErr w:type="spellEnd"/>
      <w:r w:rsidRPr="00583DDC">
        <w:rPr>
          <w:i/>
          <w:iCs/>
          <w:szCs w:val="24"/>
        </w:rPr>
        <w:t xml:space="preserve"> c. Royaume Uni, 27 sept. 1990,</w:t>
      </w:r>
    </w:p>
    <w:p w14:paraId="27E73F39" w14:textId="77777777" w:rsidR="00DA0807" w:rsidRPr="00583DDC" w:rsidRDefault="00DA0807" w:rsidP="00583DDC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r w:rsidRPr="00583DDC">
        <w:rPr>
          <w:i/>
          <w:iCs/>
          <w:szCs w:val="24"/>
        </w:rPr>
        <w:t>Sheffield et Horsham c. Royaume Uni, 30 juill. 1998</w:t>
      </w:r>
    </w:p>
    <w:p w14:paraId="6D712800" w14:textId="77777777" w:rsidR="00DA0807" w:rsidRPr="00583DDC" w:rsidRDefault="00DA0807" w:rsidP="00583DDC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r w:rsidRPr="00583DDC">
        <w:rPr>
          <w:i/>
          <w:iCs/>
          <w:szCs w:val="24"/>
        </w:rPr>
        <w:t>Fretté c France du 26 avril 2002</w:t>
      </w:r>
    </w:p>
    <w:p w14:paraId="356046E2" w14:textId="32880630" w:rsidR="001A6E0E" w:rsidRPr="00583DDC" w:rsidRDefault="00DA0807" w:rsidP="00583DDC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r w:rsidRPr="00583DDC">
        <w:rPr>
          <w:i/>
          <w:iCs/>
          <w:szCs w:val="24"/>
        </w:rPr>
        <w:t>EB du 22 janvier 2008</w:t>
      </w:r>
    </w:p>
    <w:p w14:paraId="293FF1E7" w14:textId="77777777" w:rsidR="00DA0807" w:rsidRPr="0022523F" w:rsidRDefault="00DA0807" w:rsidP="002252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23F">
        <w:rPr>
          <w:rFonts w:ascii="Times New Roman" w:eastAsia="Times New Roman" w:hAnsi="Times New Roman" w:cs="Times New Roman"/>
          <w:sz w:val="24"/>
          <w:szCs w:val="24"/>
          <w:lang w:eastAsia="fr-FR"/>
        </w:rPr>
        <w:t>1° Les notions autonomes</w:t>
      </w:r>
    </w:p>
    <w:p w14:paraId="152FFBD8" w14:textId="77777777" w:rsidR="00DA0807" w:rsidRPr="0022523F" w:rsidRDefault="00DA0807" w:rsidP="0022523F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r w:rsidRPr="0022523F">
        <w:rPr>
          <w:i/>
          <w:iCs/>
          <w:szCs w:val="24"/>
        </w:rPr>
        <w:t xml:space="preserve">Engel et al. </w:t>
      </w:r>
      <w:proofErr w:type="gramStart"/>
      <w:r w:rsidRPr="0022523F">
        <w:rPr>
          <w:i/>
          <w:iCs/>
          <w:szCs w:val="24"/>
        </w:rPr>
        <w:t>c</w:t>
      </w:r>
      <w:proofErr w:type="gramEnd"/>
      <w:r w:rsidRPr="0022523F">
        <w:rPr>
          <w:i/>
          <w:iCs/>
          <w:szCs w:val="24"/>
        </w:rPr>
        <w:t>/ Pays Bas 8 juin 1976</w:t>
      </w:r>
    </w:p>
    <w:p w14:paraId="1F988BBC" w14:textId="7E1650FE" w:rsidR="001A6E0E" w:rsidRPr="0022523F" w:rsidRDefault="00DA0807" w:rsidP="0022523F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r w:rsidRPr="0022523F">
        <w:rPr>
          <w:i/>
          <w:iCs/>
          <w:szCs w:val="24"/>
        </w:rPr>
        <w:t>König c/ RFA 28 juin 1978</w:t>
      </w:r>
    </w:p>
    <w:p w14:paraId="000E4A36" w14:textId="77777777" w:rsidR="00DA0807" w:rsidRPr="0022523F" w:rsidRDefault="00DA0807" w:rsidP="0022523F">
      <w:pPr>
        <w:pStyle w:val="Retraitcorpsdetexte2"/>
        <w:spacing w:line="240" w:lineRule="auto"/>
        <w:ind w:firstLine="708"/>
        <w:jc w:val="both"/>
        <w:rPr>
          <w:szCs w:val="24"/>
        </w:rPr>
      </w:pPr>
      <w:r w:rsidRPr="0022523F">
        <w:rPr>
          <w:szCs w:val="24"/>
        </w:rPr>
        <w:t>2° L’effet horizontal</w:t>
      </w:r>
    </w:p>
    <w:p w14:paraId="3F419B69" w14:textId="77777777" w:rsidR="00DA0807" w:rsidRPr="0022523F" w:rsidRDefault="00DA0807" w:rsidP="0022523F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r w:rsidRPr="0022523F">
        <w:rPr>
          <w:i/>
          <w:iCs/>
          <w:szCs w:val="24"/>
        </w:rPr>
        <w:t>Youg, James et Webster c/ Royaume uni du 13 août 1981</w:t>
      </w:r>
    </w:p>
    <w:p w14:paraId="52F3E1E9" w14:textId="77777777" w:rsidR="00DA0807" w:rsidRPr="0022523F" w:rsidRDefault="00DA0807" w:rsidP="0022523F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r w:rsidRPr="0022523F">
        <w:rPr>
          <w:i/>
          <w:iCs/>
          <w:szCs w:val="24"/>
        </w:rPr>
        <w:t xml:space="preserve">Soc 12 janvier 1999 </w:t>
      </w:r>
      <w:proofErr w:type="spellStart"/>
      <w:r w:rsidRPr="0022523F">
        <w:rPr>
          <w:i/>
          <w:iCs/>
          <w:szCs w:val="24"/>
        </w:rPr>
        <w:t>Spileers</w:t>
      </w:r>
      <w:proofErr w:type="spellEnd"/>
    </w:p>
    <w:p w14:paraId="712E9C28" w14:textId="77777777" w:rsidR="00DA0807" w:rsidRPr="0022523F" w:rsidRDefault="00DA0807" w:rsidP="0022523F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r w:rsidRPr="0022523F">
        <w:rPr>
          <w:i/>
          <w:iCs/>
          <w:szCs w:val="24"/>
        </w:rPr>
        <w:t xml:space="preserve">Lopez Ostra c/ Espagne du 9 </w:t>
      </w:r>
      <w:proofErr w:type="spellStart"/>
      <w:r w:rsidRPr="0022523F">
        <w:rPr>
          <w:i/>
          <w:iCs/>
          <w:szCs w:val="24"/>
        </w:rPr>
        <w:t>dédcembre</w:t>
      </w:r>
      <w:proofErr w:type="spellEnd"/>
      <w:r w:rsidRPr="0022523F">
        <w:rPr>
          <w:i/>
          <w:iCs/>
          <w:szCs w:val="24"/>
        </w:rPr>
        <w:t xml:space="preserve"> 1994</w:t>
      </w:r>
    </w:p>
    <w:p w14:paraId="242995AE" w14:textId="77777777" w:rsidR="00DA0807" w:rsidRPr="0022523F" w:rsidRDefault="00DA0807" w:rsidP="0022523F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r w:rsidRPr="0022523F">
        <w:rPr>
          <w:i/>
          <w:iCs/>
          <w:szCs w:val="24"/>
        </w:rPr>
        <w:t>Z. et autres c/ Royaume Uni, 10 mai 2001</w:t>
      </w:r>
    </w:p>
    <w:p w14:paraId="6A600475" w14:textId="77777777" w:rsidR="00DA0807" w:rsidRPr="0022523F" w:rsidRDefault="00DA0807" w:rsidP="0022523F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r w:rsidRPr="0022523F">
        <w:rPr>
          <w:i/>
          <w:iCs/>
          <w:szCs w:val="24"/>
        </w:rPr>
        <w:t xml:space="preserve">DP et JC c/ Royaume uni 10 </w:t>
      </w:r>
      <w:proofErr w:type="spellStart"/>
      <w:r w:rsidRPr="0022523F">
        <w:rPr>
          <w:i/>
          <w:iCs/>
          <w:szCs w:val="24"/>
        </w:rPr>
        <w:t>oct</w:t>
      </w:r>
      <w:proofErr w:type="spellEnd"/>
      <w:r w:rsidRPr="0022523F">
        <w:rPr>
          <w:i/>
          <w:iCs/>
          <w:szCs w:val="24"/>
        </w:rPr>
        <w:t xml:space="preserve"> 2002</w:t>
      </w:r>
    </w:p>
    <w:p w14:paraId="0097EAF4" w14:textId="748F3350" w:rsidR="00DA0807" w:rsidRDefault="00DA0807" w:rsidP="0022523F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proofErr w:type="gramStart"/>
      <w:r w:rsidRPr="0022523F">
        <w:rPr>
          <w:i/>
          <w:iCs/>
          <w:szCs w:val="24"/>
        </w:rPr>
        <w:t>E  c</w:t>
      </w:r>
      <w:proofErr w:type="gramEnd"/>
      <w:r w:rsidRPr="0022523F">
        <w:rPr>
          <w:i/>
          <w:iCs/>
          <w:szCs w:val="24"/>
        </w:rPr>
        <w:t>/ Royaume uni de 2002 26 novembre 2002</w:t>
      </w:r>
    </w:p>
    <w:p w14:paraId="34B089BC" w14:textId="1043D379" w:rsidR="0094133A" w:rsidRDefault="0094133A" w:rsidP="0022523F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r w:rsidRPr="0094133A">
        <w:rPr>
          <w:i/>
          <w:iCs/>
          <w:szCs w:val="24"/>
        </w:rPr>
        <w:t>Association Innocence en Danger et Association Enfance et Partage c/France 4 juin 2020</w:t>
      </w:r>
      <w:r>
        <w:rPr>
          <w:i/>
          <w:iCs/>
          <w:szCs w:val="24"/>
        </w:rPr>
        <w:t xml:space="preserve"> </w:t>
      </w:r>
    </w:p>
    <w:p w14:paraId="1514788A" w14:textId="7961570D" w:rsidR="006C3632" w:rsidRPr="0022523F" w:rsidRDefault="006C3632" w:rsidP="0022523F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r w:rsidRPr="006C3632">
        <w:rPr>
          <w:i/>
          <w:iCs/>
          <w:szCs w:val="24"/>
        </w:rPr>
        <w:t xml:space="preserve">J. A. </w:t>
      </w:r>
      <w:proofErr w:type="spellStart"/>
      <w:r w:rsidRPr="006C3632">
        <w:rPr>
          <w:i/>
          <w:iCs/>
          <w:szCs w:val="24"/>
        </w:rPr>
        <w:t>pye</w:t>
      </w:r>
      <w:proofErr w:type="spellEnd"/>
      <w:r w:rsidRPr="006C3632">
        <w:rPr>
          <w:i/>
          <w:iCs/>
          <w:szCs w:val="24"/>
        </w:rPr>
        <w:t xml:space="preserve"> (</w:t>
      </w:r>
      <w:proofErr w:type="spellStart"/>
      <w:r w:rsidRPr="006C3632">
        <w:rPr>
          <w:i/>
          <w:iCs/>
          <w:szCs w:val="24"/>
        </w:rPr>
        <w:t>Oxfort</w:t>
      </w:r>
      <w:proofErr w:type="spellEnd"/>
      <w:r w:rsidRPr="006C3632">
        <w:rPr>
          <w:i/>
          <w:iCs/>
          <w:szCs w:val="24"/>
        </w:rPr>
        <w:t>) LTD c/ Royaume Uni 30 août 2007</w:t>
      </w:r>
    </w:p>
    <w:p w14:paraId="7BFF6262" w14:textId="0557C924" w:rsidR="0022523F" w:rsidRPr="0022523F" w:rsidRDefault="00DA0807" w:rsidP="0022523F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r w:rsidRPr="0022523F">
        <w:rPr>
          <w:i/>
          <w:iCs/>
          <w:szCs w:val="24"/>
        </w:rPr>
        <w:t>X, Y c/ Pays Bas 26 mars 1985</w:t>
      </w:r>
    </w:p>
    <w:p w14:paraId="7F968FE6" w14:textId="77777777" w:rsidR="00DA0807" w:rsidRPr="00801E86" w:rsidRDefault="00DA0807" w:rsidP="00FF5260">
      <w:pPr>
        <w:pStyle w:val="Retraitcorpsdetexte2"/>
        <w:spacing w:line="240" w:lineRule="auto"/>
        <w:ind w:firstLine="708"/>
        <w:jc w:val="both"/>
        <w:rPr>
          <w:szCs w:val="24"/>
        </w:rPr>
      </w:pPr>
      <w:r w:rsidRPr="00801E86">
        <w:rPr>
          <w:szCs w:val="24"/>
        </w:rPr>
        <w:t>3° Les obligation positives</w:t>
      </w:r>
    </w:p>
    <w:p w14:paraId="4E1B5E8B" w14:textId="52627952" w:rsidR="00DA0807" w:rsidRDefault="00DA0807" w:rsidP="00FF5260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proofErr w:type="spellStart"/>
      <w:r w:rsidRPr="00FF5260">
        <w:rPr>
          <w:i/>
          <w:iCs/>
          <w:szCs w:val="24"/>
        </w:rPr>
        <w:t>Airey</w:t>
      </w:r>
      <w:proofErr w:type="spellEnd"/>
      <w:r w:rsidRPr="00FF5260">
        <w:rPr>
          <w:i/>
          <w:iCs/>
          <w:szCs w:val="24"/>
        </w:rPr>
        <w:t xml:space="preserve"> c Irlande du 9 octobre 1979</w:t>
      </w:r>
    </w:p>
    <w:p w14:paraId="26D52BE3" w14:textId="218F9274" w:rsidR="00310701" w:rsidRPr="00FF5260" w:rsidRDefault="00310701" w:rsidP="00310701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proofErr w:type="spellStart"/>
      <w:r w:rsidRPr="00310701">
        <w:rPr>
          <w:i/>
          <w:iCs/>
          <w:szCs w:val="24"/>
        </w:rPr>
        <w:t>Marckx</w:t>
      </w:r>
      <w:proofErr w:type="spellEnd"/>
      <w:r w:rsidRPr="00310701">
        <w:rPr>
          <w:i/>
          <w:iCs/>
          <w:szCs w:val="24"/>
        </w:rPr>
        <w:t xml:space="preserve"> c/ Belgique du 13 juin 197</w:t>
      </w:r>
      <w:r>
        <w:rPr>
          <w:i/>
          <w:iCs/>
          <w:szCs w:val="24"/>
        </w:rPr>
        <w:t>9</w:t>
      </w:r>
    </w:p>
    <w:p w14:paraId="0B06DB3B" w14:textId="6727AB76" w:rsidR="00DA0807" w:rsidRDefault="00DA0807" w:rsidP="00FF5260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proofErr w:type="spellStart"/>
      <w:r w:rsidRPr="00FF5260">
        <w:rPr>
          <w:i/>
          <w:iCs/>
          <w:szCs w:val="24"/>
        </w:rPr>
        <w:t>Ilhan</w:t>
      </w:r>
      <w:proofErr w:type="spellEnd"/>
      <w:r w:rsidRPr="00FF5260">
        <w:rPr>
          <w:i/>
          <w:iCs/>
          <w:szCs w:val="24"/>
        </w:rPr>
        <w:t xml:space="preserve"> c/ Turquie 27 juin 2000</w:t>
      </w:r>
    </w:p>
    <w:p w14:paraId="77E9C2C1" w14:textId="63DBD27E" w:rsidR="00531B29" w:rsidRDefault="00531B29" w:rsidP="00FF5260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proofErr w:type="spellStart"/>
      <w:r w:rsidRPr="00531B29">
        <w:rPr>
          <w:i/>
          <w:iCs/>
          <w:szCs w:val="24"/>
        </w:rPr>
        <w:t>Rooman</w:t>
      </w:r>
      <w:proofErr w:type="spellEnd"/>
      <w:r w:rsidRPr="00531B29">
        <w:rPr>
          <w:i/>
          <w:iCs/>
          <w:szCs w:val="24"/>
        </w:rPr>
        <w:t xml:space="preserve"> c/ Belgique 31 janvier 2016</w:t>
      </w:r>
    </w:p>
    <w:p w14:paraId="2FA95F43" w14:textId="63783EDF" w:rsidR="001A6E0E" w:rsidRPr="00FF5260" w:rsidRDefault="006127CB" w:rsidP="00FF5260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proofErr w:type="spellStart"/>
      <w:r w:rsidRPr="00FA3B5F">
        <w:rPr>
          <w:i/>
          <w:iCs/>
          <w:szCs w:val="24"/>
        </w:rPr>
        <w:t>Gnahore</w:t>
      </w:r>
      <w:proofErr w:type="spellEnd"/>
      <w:r w:rsidRPr="00FA3B5F">
        <w:rPr>
          <w:i/>
          <w:iCs/>
          <w:szCs w:val="24"/>
        </w:rPr>
        <w:t xml:space="preserve"> c/ France 19 sept. 2000</w:t>
      </w:r>
      <w:r w:rsidR="00C305FE" w:rsidRPr="00FA3B5F">
        <w:rPr>
          <w:i/>
          <w:iCs/>
          <w:szCs w:val="24"/>
        </w:rPr>
        <w:t xml:space="preserve"> Req. </w:t>
      </w:r>
      <w:proofErr w:type="gramStart"/>
      <w:r w:rsidR="00C305FE" w:rsidRPr="00FA3B5F">
        <w:rPr>
          <w:i/>
          <w:iCs/>
          <w:szCs w:val="24"/>
        </w:rPr>
        <w:t>no</w:t>
      </w:r>
      <w:proofErr w:type="gramEnd"/>
      <w:r w:rsidR="00C305FE" w:rsidRPr="00FA3B5F">
        <w:rPr>
          <w:i/>
          <w:iCs/>
          <w:szCs w:val="24"/>
        </w:rPr>
        <w:t xml:space="preserve"> 40031/98</w:t>
      </w:r>
    </w:p>
    <w:p w14:paraId="446CD057" w14:textId="4A6D2274" w:rsidR="00DA0807" w:rsidRPr="00801E86" w:rsidRDefault="00DA0807" w:rsidP="00FF5260">
      <w:pPr>
        <w:pStyle w:val="Retraitcorpsdetexte2"/>
        <w:spacing w:line="240" w:lineRule="auto"/>
        <w:ind w:firstLine="708"/>
        <w:jc w:val="both"/>
        <w:rPr>
          <w:szCs w:val="24"/>
        </w:rPr>
      </w:pPr>
      <w:r w:rsidRPr="00801E86">
        <w:rPr>
          <w:szCs w:val="24"/>
        </w:rPr>
        <w:t>4° La protection par ricochet</w:t>
      </w:r>
      <w:r w:rsidRPr="00801E86">
        <w:rPr>
          <w:szCs w:val="24"/>
        </w:rPr>
        <w:tab/>
      </w:r>
    </w:p>
    <w:p w14:paraId="1D8163F0" w14:textId="77777777" w:rsidR="00DA0807" w:rsidRPr="00FF5260" w:rsidRDefault="00DA0807" w:rsidP="00FF5260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proofErr w:type="spellStart"/>
      <w:r w:rsidRPr="00FF5260">
        <w:rPr>
          <w:i/>
          <w:iCs/>
          <w:szCs w:val="24"/>
        </w:rPr>
        <w:t>Beljoudi</w:t>
      </w:r>
      <w:proofErr w:type="spellEnd"/>
      <w:r w:rsidRPr="00FF5260">
        <w:rPr>
          <w:i/>
          <w:iCs/>
          <w:szCs w:val="24"/>
        </w:rPr>
        <w:t xml:space="preserve"> c France 26 mars 1992</w:t>
      </w:r>
    </w:p>
    <w:p w14:paraId="07E3A8DC" w14:textId="1BF22829" w:rsidR="00DA0807" w:rsidRDefault="00DA0807" w:rsidP="00FF5260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proofErr w:type="gramStart"/>
      <w:r w:rsidRPr="00FF5260">
        <w:rPr>
          <w:i/>
          <w:iCs/>
          <w:szCs w:val="24"/>
        </w:rPr>
        <w:t>Soering  c</w:t>
      </w:r>
      <w:proofErr w:type="gramEnd"/>
      <w:r w:rsidRPr="00FF5260">
        <w:rPr>
          <w:i/>
          <w:iCs/>
          <w:szCs w:val="24"/>
        </w:rPr>
        <w:t xml:space="preserve"> Royaume Uni du 7 juillet 1989</w:t>
      </w:r>
    </w:p>
    <w:p w14:paraId="33FB7354" w14:textId="1CA471AD" w:rsidR="00310701" w:rsidRDefault="001764A8" w:rsidP="00FF5260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r w:rsidRPr="001764A8">
        <w:rPr>
          <w:i/>
          <w:iCs/>
          <w:szCs w:val="24"/>
        </w:rPr>
        <w:t>Association Innocence en Danger et Association Enfance et Partage c/</w:t>
      </w:r>
      <w:r>
        <w:rPr>
          <w:i/>
          <w:iCs/>
          <w:szCs w:val="24"/>
        </w:rPr>
        <w:t xml:space="preserve">France </w:t>
      </w:r>
      <w:r w:rsidRPr="001764A8">
        <w:rPr>
          <w:i/>
          <w:iCs/>
          <w:szCs w:val="24"/>
        </w:rPr>
        <w:t>4 juin 2020</w:t>
      </w:r>
    </w:p>
    <w:p w14:paraId="6BA9B856" w14:textId="77777777" w:rsidR="001764A8" w:rsidRPr="00FF5260" w:rsidRDefault="001764A8" w:rsidP="00FF5260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</w:p>
    <w:p w14:paraId="43D1BC04" w14:textId="77777777" w:rsidR="00DA0807" w:rsidRPr="00FF5260" w:rsidRDefault="00DA0807" w:rsidP="00FF5260">
      <w:pPr>
        <w:pStyle w:val="Retraitcorpsdetexte2"/>
        <w:spacing w:line="240" w:lineRule="auto"/>
        <w:ind w:firstLine="708"/>
        <w:jc w:val="both"/>
        <w:rPr>
          <w:szCs w:val="24"/>
        </w:rPr>
      </w:pPr>
      <w:r w:rsidRPr="00801E86">
        <w:rPr>
          <w:szCs w:val="24"/>
        </w:rPr>
        <w:t xml:space="preserve">B.  Les techniques d'interprétation destinées à assurer la subsidiarité de la Convention </w:t>
      </w:r>
      <w:r w:rsidRPr="00FF5260">
        <w:rPr>
          <w:szCs w:val="24"/>
        </w:rPr>
        <w:t>européenne des droits de l'homme</w:t>
      </w:r>
    </w:p>
    <w:p w14:paraId="68005CD2" w14:textId="15062483" w:rsidR="00191C28" w:rsidRPr="00243D74" w:rsidRDefault="00DA0807" w:rsidP="00243D74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r w:rsidRPr="00FF5260">
        <w:rPr>
          <w:i/>
          <w:iCs/>
          <w:szCs w:val="24"/>
        </w:rPr>
        <w:t>Affaire linguistique belge du 23 juillet 1968</w:t>
      </w:r>
    </w:p>
    <w:p w14:paraId="47A84763" w14:textId="33C6ADA5" w:rsidR="00DA0807" w:rsidRPr="00801E86" w:rsidRDefault="00DA0807" w:rsidP="00191C28">
      <w:pPr>
        <w:pStyle w:val="Retraitcorpsdetexte2"/>
        <w:spacing w:line="240" w:lineRule="auto"/>
        <w:ind w:firstLine="708"/>
        <w:jc w:val="both"/>
        <w:rPr>
          <w:szCs w:val="24"/>
        </w:rPr>
      </w:pPr>
      <w:r w:rsidRPr="00801E86">
        <w:rPr>
          <w:szCs w:val="24"/>
        </w:rPr>
        <w:t>1° Le principe de proportionnalité</w:t>
      </w:r>
    </w:p>
    <w:p w14:paraId="1DC773EA" w14:textId="707DDF3C" w:rsidR="00DA0807" w:rsidRPr="00801E86" w:rsidRDefault="00191C28" w:rsidP="00191C28">
      <w:pPr>
        <w:pStyle w:val="Retraitcorpsdetexte2"/>
        <w:spacing w:line="240" w:lineRule="auto"/>
        <w:ind w:firstLine="708"/>
        <w:jc w:val="both"/>
        <w:rPr>
          <w:szCs w:val="24"/>
        </w:rPr>
      </w:pPr>
      <w:r>
        <w:rPr>
          <w:szCs w:val="24"/>
        </w:rPr>
        <w:t>a.</w:t>
      </w:r>
      <w:r w:rsidR="00DA0807" w:rsidRPr="00801E86">
        <w:rPr>
          <w:szCs w:val="24"/>
        </w:rPr>
        <w:t xml:space="preserve"> L'ingérence doit être prévue par la loi</w:t>
      </w:r>
    </w:p>
    <w:p w14:paraId="07B68E69" w14:textId="77777777" w:rsidR="00DA0807" w:rsidRPr="009013FB" w:rsidRDefault="00DA0807" w:rsidP="009013FB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proofErr w:type="spellStart"/>
      <w:r w:rsidRPr="009013FB">
        <w:rPr>
          <w:i/>
          <w:iCs/>
          <w:szCs w:val="24"/>
        </w:rPr>
        <w:t>Kruslin</w:t>
      </w:r>
      <w:proofErr w:type="spellEnd"/>
      <w:r w:rsidRPr="009013FB">
        <w:rPr>
          <w:i/>
          <w:iCs/>
          <w:szCs w:val="24"/>
        </w:rPr>
        <w:t xml:space="preserve"> c France du 24 avril 1990</w:t>
      </w:r>
    </w:p>
    <w:p w14:paraId="018200AE" w14:textId="77777777" w:rsidR="00DA0807" w:rsidRPr="009013FB" w:rsidRDefault="00DA0807" w:rsidP="009013FB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r w:rsidRPr="009013FB">
        <w:rPr>
          <w:i/>
          <w:iCs/>
          <w:szCs w:val="24"/>
        </w:rPr>
        <w:t>Sunday Times du 26 avril 1979</w:t>
      </w:r>
    </w:p>
    <w:p w14:paraId="18811A88" w14:textId="408D1139" w:rsidR="00F728E4" w:rsidRPr="009013FB" w:rsidRDefault="009013FB" w:rsidP="009013FB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r w:rsidRPr="009013FB">
        <w:rPr>
          <w:i/>
          <w:iCs/>
          <w:szCs w:val="24"/>
        </w:rPr>
        <w:t>Goodwin c/ Royaume Uni11 juin 2002</w:t>
      </w:r>
    </w:p>
    <w:p w14:paraId="618B0CEE" w14:textId="002C27E9" w:rsidR="00DA0807" w:rsidRPr="00801E86" w:rsidRDefault="009013FB" w:rsidP="009013FB">
      <w:pPr>
        <w:pStyle w:val="Retraitcorpsdetexte2"/>
        <w:spacing w:line="240" w:lineRule="auto"/>
        <w:ind w:firstLine="708"/>
        <w:jc w:val="both"/>
        <w:rPr>
          <w:szCs w:val="24"/>
        </w:rPr>
      </w:pPr>
      <w:r>
        <w:rPr>
          <w:szCs w:val="24"/>
        </w:rPr>
        <w:t>b.</w:t>
      </w:r>
      <w:r w:rsidR="00DA0807" w:rsidRPr="00801E86">
        <w:rPr>
          <w:szCs w:val="24"/>
        </w:rPr>
        <w:t xml:space="preserve"> L'ingérence doit viser un but légitime</w:t>
      </w:r>
    </w:p>
    <w:p w14:paraId="280B561C" w14:textId="5C340D9E" w:rsidR="00F728E4" w:rsidRDefault="003C7E55" w:rsidP="003C7E55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r w:rsidRPr="003C7E55">
        <w:rPr>
          <w:i/>
          <w:iCs/>
          <w:szCs w:val="24"/>
        </w:rPr>
        <w:t xml:space="preserve">Olsson, c/ Suède 24 mars 1988 </w:t>
      </w:r>
    </w:p>
    <w:p w14:paraId="024DE954" w14:textId="53FB4F86" w:rsidR="008F3DA9" w:rsidRDefault="008F3DA9" w:rsidP="003C7E55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proofErr w:type="spellStart"/>
      <w:r w:rsidRPr="008F3DA9">
        <w:rPr>
          <w:i/>
          <w:iCs/>
          <w:szCs w:val="24"/>
        </w:rPr>
        <w:t>Beljoudi</w:t>
      </w:r>
      <w:proofErr w:type="spellEnd"/>
      <w:r w:rsidRPr="008F3DA9">
        <w:rPr>
          <w:i/>
          <w:iCs/>
          <w:szCs w:val="24"/>
        </w:rPr>
        <w:t xml:space="preserve"> c France </w:t>
      </w:r>
      <w:r>
        <w:rPr>
          <w:i/>
          <w:iCs/>
          <w:szCs w:val="24"/>
        </w:rPr>
        <w:t xml:space="preserve">26 mars </w:t>
      </w:r>
      <w:r w:rsidRPr="008F3DA9">
        <w:rPr>
          <w:i/>
          <w:iCs/>
          <w:szCs w:val="24"/>
        </w:rPr>
        <w:t>1992</w:t>
      </w:r>
    </w:p>
    <w:p w14:paraId="6B269B72" w14:textId="74D7EBCD" w:rsidR="00F728E4" w:rsidRDefault="00F728E4" w:rsidP="003C7E55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proofErr w:type="spellStart"/>
      <w:r w:rsidRPr="00F728E4">
        <w:rPr>
          <w:i/>
          <w:iCs/>
          <w:szCs w:val="24"/>
        </w:rPr>
        <w:t>Handyside</w:t>
      </w:r>
      <w:proofErr w:type="spellEnd"/>
      <w:r w:rsidRPr="00F728E4">
        <w:rPr>
          <w:i/>
          <w:iCs/>
          <w:szCs w:val="24"/>
        </w:rPr>
        <w:t xml:space="preserve"> c/ Royaume Uni 7 décembre 1976</w:t>
      </w:r>
    </w:p>
    <w:p w14:paraId="1A7E07E8" w14:textId="77777777" w:rsidR="00F728E4" w:rsidRPr="003C7E55" w:rsidRDefault="00F728E4" w:rsidP="003C7E55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</w:p>
    <w:p w14:paraId="6363E41B" w14:textId="4893A041" w:rsidR="00DA0807" w:rsidRPr="00801E86" w:rsidRDefault="00F728E4" w:rsidP="00F728E4">
      <w:pPr>
        <w:pStyle w:val="Retraitcorpsdetexte2"/>
        <w:spacing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c. </w:t>
      </w:r>
      <w:r w:rsidR="00DA0807" w:rsidRPr="00801E86">
        <w:rPr>
          <w:szCs w:val="24"/>
        </w:rPr>
        <w:t>L'ingérence doit être nécessaire dans une société démocratique</w:t>
      </w:r>
    </w:p>
    <w:p w14:paraId="0A32CA6F" w14:textId="77777777" w:rsidR="00DA0807" w:rsidRPr="00F728E4" w:rsidRDefault="00DA0807" w:rsidP="00F728E4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r w:rsidRPr="00F728E4">
        <w:rPr>
          <w:i/>
          <w:iCs/>
          <w:szCs w:val="24"/>
        </w:rPr>
        <w:t>Parti communiste unifié de Turquie c/ Turquie du 30 janvier 1998</w:t>
      </w:r>
    </w:p>
    <w:p w14:paraId="598CCA02" w14:textId="72EF061C" w:rsidR="00DA0807" w:rsidRDefault="00DA0807" w:rsidP="00F728E4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proofErr w:type="spellStart"/>
      <w:r w:rsidRPr="00F728E4">
        <w:rPr>
          <w:i/>
          <w:iCs/>
          <w:szCs w:val="24"/>
        </w:rPr>
        <w:t>Kutzner</w:t>
      </w:r>
      <w:proofErr w:type="spellEnd"/>
      <w:r w:rsidRPr="00F728E4">
        <w:rPr>
          <w:i/>
          <w:iCs/>
          <w:szCs w:val="24"/>
        </w:rPr>
        <w:t xml:space="preserve"> c. Allemagne du 26 fév. 2002</w:t>
      </w:r>
    </w:p>
    <w:p w14:paraId="6D4038A0" w14:textId="77777777" w:rsidR="00F31163" w:rsidRDefault="00F31163" w:rsidP="00F728E4">
      <w:pPr>
        <w:pStyle w:val="Retraitcorpsdetexte2"/>
        <w:spacing w:line="240" w:lineRule="auto"/>
        <w:ind w:firstLine="0"/>
        <w:jc w:val="both"/>
        <w:rPr>
          <w:i/>
          <w:iCs/>
          <w:szCs w:val="24"/>
          <w:lang w:val="x-none"/>
        </w:rPr>
      </w:pPr>
      <w:r w:rsidRPr="00F31163">
        <w:rPr>
          <w:i/>
          <w:iCs/>
          <w:szCs w:val="24"/>
        </w:rPr>
        <w:t xml:space="preserve">K. et T. </w:t>
      </w:r>
      <w:r w:rsidRPr="00F31163">
        <w:rPr>
          <w:i/>
          <w:iCs/>
          <w:szCs w:val="24"/>
          <w:lang w:val="x-none"/>
        </w:rPr>
        <w:t>c/ Finlande</w:t>
      </w:r>
      <w:r w:rsidRPr="00F31163">
        <w:rPr>
          <w:i/>
          <w:iCs/>
          <w:szCs w:val="24"/>
        </w:rPr>
        <w:t>,</w:t>
      </w:r>
      <w:r w:rsidRPr="00F31163">
        <w:rPr>
          <w:i/>
          <w:iCs/>
          <w:szCs w:val="24"/>
          <w:lang w:val="x-none"/>
        </w:rPr>
        <w:t>12 juillet 2001</w:t>
      </w:r>
    </w:p>
    <w:p w14:paraId="56CA67DE" w14:textId="53C93F25" w:rsidR="00F31163" w:rsidRPr="00F728E4" w:rsidRDefault="00F31163" w:rsidP="00F728E4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r w:rsidRPr="00F31163">
        <w:rPr>
          <w:i/>
          <w:iCs/>
          <w:szCs w:val="24"/>
        </w:rPr>
        <w:t xml:space="preserve">Vautier </w:t>
      </w:r>
      <w:bookmarkStart w:id="0" w:name="_Hlk29215398"/>
      <w:r w:rsidRPr="00F31163">
        <w:rPr>
          <w:i/>
          <w:iCs/>
          <w:szCs w:val="24"/>
        </w:rPr>
        <w:t>c/France, 26 nov. 2009</w:t>
      </w:r>
      <w:bookmarkEnd w:id="0"/>
    </w:p>
    <w:p w14:paraId="6E1AF0CC" w14:textId="63E4A6CC" w:rsidR="00DA0807" w:rsidRDefault="00DA0807" w:rsidP="00F728E4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r w:rsidRPr="00F728E4">
        <w:rPr>
          <w:i/>
          <w:iCs/>
          <w:szCs w:val="24"/>
        </w:rPr>
        <w:t>Del sol c. France du 26 fév. 2002</w:t>
      </w:r>
    </w:p>
    <w:p w14:paraId="55DFCD21" w14:textId="0FB85F9D" w:rsidR="009F3EC4" w:rsidRPr="001A6E0E" w:rsidRDefault="009F3EC4" w:rsidP="00F728E4">
      <w:pPr>
        <w:pStyle w:val="Retraitcorpsdetexte2"/>
        <w:spacing w:line="240" w:lineRule="auto"/>
        <w:ind w:firstLine="0"/>
        <w:jc w:val="both"/>
        <w:rPr>
          <w:b/>
          <w:bCs/>
          <w:i/>
          <w:iCs/>
          <w:szCs w:val="24"/>
        </w:rPr>
      </w:pPr>
      <w:r w:rsidRPr="001A6E0E">
        <w:rPr>
          <w:b/>
          <w:bCs/>
          <w:i/>
          <w:iCs/>
          <w:szCs w:val="24"/>
        </w:rPr>
        <w:t>Odièvr</w:t>
      </w:r>
      <w:r w:rsidR="001A6E0E" w:rsidRPr="001A6E0E">
        <w:rPr>
          <w:b/>
          <w:bCs/>
          <w:i/>
          <w:iCs/>
          <w:szCs w:val="24"/>
        </w:rPr>
        <w:t>e</w:t>
      </w:r>
      <w:r w:rsidRPr="001A6E0E">
        <w:rPr>
          <w:b/>
          <w:bCs/>
          <w:i/>
          <w:iCs/>
          <w:szCs w:val="24"/>
        </w:rPr>
        <w:t>, c France 13 février 2003</w:t>
      </w:r>
    </w:p>
    <w:p w14:paraId="5585CEDE" w14:textId="33BB6FD5" w:rsidR="00F728E4" w:rsidRPr="00F728E4" w:rsidRDefault="00856495" w:rsidP="00F728E4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proofErr w:type="spellStart"/>
      <w:r w:rsidRPr="00856495">
        <w:rPr>
          <w:i/>
          <w:iCs/>
          <w:szCs w:val="24"/>
        </w:rPr>
        <w:t>Godelli</w:t>
      </w:r>
      <w:proofErr w:type="spellEnd"/>
      <w:r w:rsidRPr="00856495">
        <w:rPr>
          <w:i/>
          <w:iCs/>
          <w:szCs w:val="24"/>
        </w:rPr>
        <w:t xml:space="preserve"> c/ Italie, 25 septembre 2012</w:t>
      </w:r>
    </w:p>
    <w:p w14:paraId="1A94A88A" w14:textId="0684181B" w:rsidR="00DA0807" w:rsidRDefault="00DA0807" w:rsidP="003508BE">
      <w:pPr>
        <w:pStyle w:val="Retraitcorpsdetexte2"/>
        <w:spacing w:line="240" w:lineRule="auto"/>
        <w:ind w:firstLine="708"/>
        <w:jc w:val="both"/>
        <w:rPr>
          <w:szCs w:val="24"/>
        </w:rPr>
      </w:pPr>
      <w:r w:rsidRPr="00801E86">
        <w:rPr>
          <w:szCs w:val="24"/>
        </w:rPr>
        <w:t>2° La marge d'appréciation</w:t>
      </w:r>
    </w:p>
    <w:p w14:paraId="0C960065" w14:textId="317C6220" w:rsidR="00F17DFA" w:rsidRDefault="00F17DFA" w:rsidP="00996C0E">
      <w:pPr>
        <w:pStyle w:val="Retraitcorpsdetexte2"/>
        <w:numPr>
          <w:ilvl w:val="0"/>
          <w:numId w:val="7"/>
        </w:numPr>
        <w:spacing w:line="240" w:lineRule="auto"/>
        <w:jc w:val="both"/>
        <w:rPr>
          <w:szCs w:val="24"/>
        </w:rPr>
      </w:pPr>
      <w:r>
        <w:rPr>
          <w:szCs w:val="24"/>
        </w:rPr>
        <w:t>La nature du droit en cause</w:t>
      </w:r>
    </w:p>
    <w:p w14:paraId="149D7B09" w14:textId="4B9E2248" w:rsidR="00996C0E" w:rsidRDefault="00996C0E" w:rsidP="00996C0E">
      <w:pPr>
        <w:pStyle w:val="Retraitcorpsdetexte2"/>
        <w:numPr>
          <w:ilvl w:val="0"/>
          <w:numId w:val="7"/>
        </w:numPr>
        <w:spacing w:line="240" w:lineRule="auto"/>
        <w:jc w:val="both"/>
        <w:rPr>
          <w:szCs w:val="24"/>
        </w:rPr>
      </w:pPr>
      <w:r>
        <w:rPr>
          <w:szCs w:val="24"/>
        </w:rPr>
        <w:t>Le consensus</w:t>
      </w:r>
    </w:p>
    <w:p w14:paraId="62343158" w14:textId="24C01DAC" w:rsidR="003508BE" w:rsidRPr="001A6E0E" w:rsidRDefault="003508BE" w:rsidP="003508BE">
      <w:pPr>
        <w:pStyle w:val="Retraitcorpsdetexte2"/>
        <w:spacing w:line="240" w:lineRule="auto"/>
        <w:ind w:firstLine="0"/>
        <w:jc w:val="both"/>
        <w:rPr>
          <w:b/>
          <w:bCs/>
          <w:i/>
          <w:iCs/>
          <w:szCs w:val="24"/>
        </w:rPr>
      </w:pPr>
      <w:proofErr w:type="spellStart"/>
      <w:r w:rsidRPr="001A6E0E">
        <w:rPr>
          <w:b/>
          <w:bCs/>
          <w:i/>
          <w:iCs/>
          <w:szCs w:val="24"/>
        </w:rPr>
        <w:t>Mazureck</w:t>
      </w:r>
      <w:proofErr w:type="spellEnd"/>
      <w:r w:rsidRPr="001A6E0E">
        <w:rPr>
          <w:b/>
          <w:bCs/>
          <w:i/>
          <w:iCs/>
          <w:szCs w:val="24"/>
        </w:rPr>
        <w:t xml:space="preserve"> c/ France du 1er février 2000</w:t>
      </w:r>
    </w:p>
    <w:p w14:paraId="7BBFE00A" w14:textId="77777777" w:rsidR="00B122AB" w:rsidRDefault="00B122AB" w:rsidP="00B122AB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r w:rsidRPr="00B122AB">
        <w:rPr>
          <w:i/>
          <w:iCs/>
          <w:szCs w:val="24"/>
        </w:rPr>
        <w:t>Dudgeon c/ Royaume Uni 22 octobre 2001</w:t>
      </w:r>
    </w:p>
    <w:p w14:paraId="6F595C84" w14:textId="61F968C4" w:rsidR="00B122AB" w:rsidRDefault="00B122AB" w:rsidP="00B122AB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r w:rsidRPr="00B122AB">
        <w:rPr>
          <w:i/>
          <w:iCs/>
          <w:szCs w:val="24"/>
        </w:rPr>
        <w:t>LV contre Autriche du 9 janvier 2003</w:t>
      </w:r>
    </w:p>
    <w:p w14:paraId="38351E0A" w14:textId="0BCD3DF8" w:rsidR="00996C0E" w:rsidRDefault="00996C0E" w:rsidP="00B122AB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r w:rsidRPr="00996C0E">
        <w:rPr>
          <w:i/>
          <w:iCs/>
          <w:szCs w:val="24"/>
        </w:rPr>
        <w:t>MC contre Bulgarie du 4 décembre 2003</w:t>
      </w:r>
    </w:p>
    <w:p w14:paraId="5BCF0C7D" w14:textId="233C1643" w:rsidR="00F17DFA" w:rsidRPr="00583E2B" w:rsidRDefault="00F17DFA" w:rsidP="00B122AB">
      <w:pPr>
        <w:pStyle w:val="Retraitcorpsdetexte2"/>
        <w:spacing w:line="240" w:lineRule="auto"/>
        <w:ind w:firstLine="0"/>
        <w:jc w:val="both"/>
        <w:rPr>
          <w:b/>
          <w:bCs/>
          <w:i/>
          <w:iCs/>
          <w:szCs w:val="24"/>
        </w:rPr>
      </w:pPr>
      <w:r w:rsidRPr="00583E2B">
        <w:rPr>
          <w:b/>
          <w:bCs/>
          <w:i/>
          <w:iCs/>
          <w:szCs w:val="24"/>
        </w:rPr>
        <w:t xml:space="preserve">Schalk et </w:t>
      </w:r>
      <w:proofErr w:type="spellStart"/>
      <w:r w:rsidRPr="00583E2B">
        <w:rPr>
          <w:b/>
          <w:bCs/>
          <w:i/>
          <w:iCs/>
          <w:szCs w:val="24"/>
        </w:rPr>
        <w:t>Kopf</w:t>
      </w:r>
      <w:proofErr w:type="spellEnd"/>
      <w:r w:rsidRPr="00583E2B">
        <w:rPr>
          <w:b/>
          <w:bCs/>
          <w:i/>
          <w:iCs/>
          <w:szCs w:val="24"/>
        </w:rPr>
        <w:t xml:space="preserve"> c/ Autriche du 24 juin 2010</w:t>
      </w:r>
    </w:p>
    <w:p w14:paraId="532EDAE9" w14:textId="6A3B6F7F" w:rsidR="005E18DC" w:rsidRPr="003508BE" w:rsidRDefault="005E18DC" w:rsidP="00B122AB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r w:rsidRPr="005E18DC">
        <w:rPr>
          <w:i/>
          <w:iCs/>
          <w:szCs w:val="24"/>
        </w:rPr>
        <w:t>PB et JS c/ Autriche du 22 juillet 2010</w:t>
      </w:r>
    </w:p>
    <w:p w14:paraId="3154BF09" w14:textId="4ACD9BAA" w:rsidR="001A6E0E" w:rsidRPr="00181D17" w:rsidRDefault="00DA0807" w:rsidP="00181D17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r w:rsidRPr="00181D17">
        <w:rPr>
          <w:i/>
          <w:iCs/>
          <w:szCs w:val="24"/>
        </w:rPr>
        <w:t>Odièvre c/ France 13 février 2003</w:t>
      </w:r>
    </w:p>
    <w:p w14:paraId="0AAA3C7B" w14:textId="77777777" w:rsidR="00FA3B5F" w:rsidRPr="00801E86" w:rsidRDefault="00FA3B5F" w:rsidP="00243D74">
      <w:pPr>
        <w:pStyle w:val="Retraitcorpsdetexte2"/>
        <w:spacing w:line="240" w:lineRule="auto"/>
        <w:ind w:firstLine="0"/>
        <w:jc w:val="both"/>
        <w:rPr>
          <w:szCs w:val="24"/>
        </w:rPr>
      </w:pPr>
    </w:p>
    <w:p w14:paraId="718663EB" w14:textId="77777777" w:rsidR="00E00010" w:rsidRPr="00E00010" w:rsidRDefault="00E00010" w:rsidP="00E0001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00010">
        <w:rPr>
          <w:rFonts w:ascii="Times New Roman" w:hAnsi="Times New Roman"/>
          <w:b/>
          <w:sz w:val="24"/>
          <w:szCs w:val="24"/>
        </w:rPr>
        <w:t>Chapitre 3 : La portée des arrêts de la Cour EDH</w:t>
      </w:r>
    </w:p>
    <w:p w14:paraId="332E6DF4" w14:textId="00F6AE12" w:rsidR="00E00010" w:rsidRDefault="00E00010" w:rsidP="00E0001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00010">
        <w:rPr>
          <w:rFonts w:ascii="Times New Roman" w:hAnsi="Times New Roman"/>
          <w:b/>
          <w:sz w:val="24"/>
          <w:szCs w:val="24"/>
        </w:rPr>
        <w:t>Section I :  L’autorité relative de la chose jugée des arrêts de la CEDH</w:t>
      </w:r>
    </w:p>
    <w:p w14:paraId="5819A102" w14:textId="77777777" w:rsidR="009F2650" w:rsidRPr="009F2650" w:rsidRDefault="009F2650" w:rsidP="009F265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9F2650">
        <w:rPr>
          <w:rFonts w:ascii="Times New Roman" w:hAnsi="Times New Roman"/>
          <w:b/>
          <w:sz w:val="24"/>
          <w:szCs w:val="24"/>
        </w:rPr>
        <w:t xml:space="preserve">Section II. : L’autorité de la chose interprétée des arrêts de la CEDH </w:t>
      </w:r>
    </w:p>
    <w:p w14:paraId="4DCC17C5" w14:textId="35C6751A" w:rsidR="005952B4" w:rsidRDefault="005952B4" w:rsidP="005952B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952B4">
        <w:rPr>
          <w:rFonts w:ascii="Times New Roman" w:hAnsi="Times New Roman"/>
          <w:b/>
          <w:sz w:val="24"/>
          <w:szCs w:val="24"/>
        </w:rPr>
        <w:t xml:space="preserve">Section III : La portée </w:t>
      </w:r>
      <w:r w:rsidR="007033A3">
        <w:rPr>
          <w:rFonts w:ascii="Times New Roman" w:hAnsi="Times New Roman"/>
          <w:b/>
          <w:sz w:val="24"/>
          <w:szCs w:val="24"/>
        </w:rPr>
        <w:t xml:space="preserve">nouvelle </w:t>
      </w:r>
      <w:r w:rsidRPr="005952B4">
        <w:rPr>
          <w:rFonts w:ascii="Times New Roman" w:hAnsi="Times New Roman"/>
          <w:b/>
          <w:sz w:val="24"/>
          <w:szCs w:val="24"/>
        </w:rPr>
        <w:t>des arrêts de la CEDH en droit interne</w:t>
      </w:r>
    </w:p>
    <w:p w14:paraId="658CD198" w14:textId="77777777" w:rsidR="00584FFE" w:rsidRPr="00584FFE" w:rsidRDefault="00584FFE" w:rsidP="00584FFE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584FFE">
        <w:rPr>
          <w:rFonts w:ascii="Times New Roman" w:hAnsi="Times New Roman"/>
          <w:b/>
          <w:bCs/>
          <w:sz w:val="24"/>
          <w:szCs w:val="24"/>
        </w:rPr>
        <w:t>§1 Le réexamen d’une décision interne à la suite d’une condamnation de la Cour européenne</w:t>
      </w:r>
    </w:p>
    <w:p w14:paraId="54C57C49" w14:textId="6BC7ADF2" w:rsidR="009F487A" w:rsidRPr="007364B1" w:rsidRDefault="009F487A" w:rsidP="007364B1">
      <w:pPr>
        <w:pStyle w:val="Retraitcorpsdetexte2"/>
        <w:numPr>
          <w:ilvl w:val="0"/>
          <w:numId w:val="9"/>
        </w:numPr>
        <w:spacing w:line="240" w:lineRule="auto"/>
        <w:jc w:val="both"/>
        <w:rPr>
          <w:szCs w:val="24"/>
        </w:rPr>
      </w:pPr>
      <w:r w:rsidRPr="009F487A">
        <w:rPr>
          <w:szCs w:val="24"/>
        </w:rPr>
        <w:t>Le réexamen en matière pénale</w:t>
      </w:r>
    </w:p>
    <w:p w14:paraId="67A19353" w14:textId="59520513" w:rsidR="00CD6C39" w:rsidRPr="007364B1" w:rsidRDefault="00CD6C39" w:rsidP="007364B1">
      <w:pPr>
        <w:pStyle w:val="Retraitcorpsdetexte2"/>
        <w:numPr>
          <w:ilvl w:val="0"/>
          <w:numId w:val="9"/>
        </w:numPr>
        <w:spacing w:line="240" w:lineRule="auto"/>
        <w:jc w:val="both"/>
        <w:rPr>
          <w:szCs w:val="24"/>
        </w:rPr>
      </w:pPr>
      <w:r w:rsidRPr="007364B1">
        <w:rPr>
          <w:szCs w:val="24"/>
        </w:rPr>
        <w:t>Le réexamen en matière civile</w:t>
      </w:r>
    </w:p>
    <w:p w14:paraId="3DD8ACA6" w14:textId="2D5B1A91" w:rsidR="0043501B" w:rsidRPr="007364B1" w:rsidRDefault="0043501B" w:rsidP="007364B1">
      <w:pPr>
        <w:pStyle w:val="Retraitcorpsdetexte2"/>
        <w:spacing w:line="240" w:lineRule="auto"/>
        <w:ind w:firstLine="708"/>
        <w:jc w:val="both"/>
        <w:rPr>
          <w:szCs w:val="24"/>
        </w:rPr>
      </w:pPr>
      <w:r w:rsidRPr="007364B1">
        <w:rPr>
          <w:szCs w:val="24"/>
        </w:rPr>
        <w:t>1°Le bien fondé du réexamen</w:t>
      </w:r>
    </w:p>
    <w:p w14:paraId="200AE258" w14:textId="33728F08" w:rsidR="004C1E59" w:rsidRDefault="004C1E59" w:rsidP="007364B1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r w:rsidRPr="004C1E59">
        <w:rPr>
          <w:i/>
          <w:iCs/>
          <w:szCs w:val="24"/>
        </w:rPr>
        <w:t>Foulon et Bouvet c/ France 21 juill. 2016</w:t>
      </w:r>
    </w:p>
    <w:p w14:paraId="1B16FFA0" w14:textId="768B0CA9" w:rsidR="007364B1" w:rsidRPr="001A6E0E" w:rsidRDefault="007364B1" w:rsidP="007364B1">
      <w:pPr>
        <w:pStyle w:val="Retraitcorpsdetexte2"/>
        <w:spacing w:line="240" w:lineRule="auto"/>
        <w:ind w:firstLine="0"/>
        <w:jc w:val="both"/>
        <w:rPr>
          <w:b/>
          <w:bCs/>
          <w:i/>
          <w:iCs/>
          <w:szCs w:val="24"/>
        </w:rPr>
      </w:pPr>
      <w:r w:rsidRPr="001A6E0E">
        <w:rPr>
          <w:b/>
          <w:bCs/>
          <w:i/>
          <w:iCs/>
          <w:szCs w:val="24"/>
        </w:rPr>
        <w:t>Mennesson c/ France, 26 juillet 2014</w:t>
      </w:r>
      <w:r w:rsidR="00C43C60">
        <w:rPr>
          <w:b/>
          <w:bCs/>
          <w:i/>
          <w:iCs/>
          <w:szCs w:val="24"/>
        </w:rPr>
        <w:t xml:space="preserve">, </w:t>
      </w:r>
      <w:r w:rsidR="00C43C60" w:rsidRPr="00C43C60">
        <w:rPr>
          <w:b/>
          <w:bCs/>
          <w:i/>
          <w:iCs/>
          <w:szCs w:val="24"/>
        </w:rPr>
        <w:t>Re</w:t>
      </w:r>
      <w:r w:rsidR="009A6996">
        <w:rPr>
          <w:b/>
          <w:bCs/>
          <w:i/>
          <w:iCs/>
          <w:szCs w:val="24"/>
        </w:rPr>
        <w:t xml:space="preserve">q. </w:t>
      </w:r>
      <w:proofErr w:type="gramStart"/>
      <w:r w:rsidR="009A6996">
        <w:rPr>
          <w:b/>
          <w:bCs/>
          <w:i/>
          <w:iCs/>
          <w:szCs w:val="24"/>
        </w:rPr>
        <w:t>n</w:t>
      </w:r>
      <w:proofErr w:type="gramEnd"/>
      <w:r w:rsidR="009A6996">
        <w:rPr>
          <w:b/>
          <w:bCs/>
          <w:i/>
          <w:iCs/>
          <w:szCs w:val="24"/>
        </w:rPr>
        <w:t>°</w:t>
      </w:r>
      <w:hyperlink r:id="rId6" w:anchor="{%22appno%22:[%2265192/11%22]}" w:tgtFrame="_blank" w:history="1">
        <w:r w:rsidR="00C43C60" w:rsidRPr="009A6996">
          <w:rPr>
            <w:b/>
            <w:bCs/>
            <w:i/>
            <w:iCs/>
            <w:szCs w:val="24"/>
          </w:rPr>
          <w:t>65192/11</w:t>
        </w:r>
      </w:hyperlink>
    </w:p>
    <w:p w14:paraId="151824EA" w14:textId="77777777" w:rsidR="001A6E48" w:rsidRDefault="00811152" w:rsidP="007364B1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r w:rsidRPr="00811152">
        <w:rPr>
          <w:i/>
          <w:iCs/>
          <w:szCs w:val="24"/>
        </w:rPr>
        <w:t xml:space="preserve">A.P. Garçon et Nicot du 6 avril 2017 </w:t>
      </w:r>
    </w:p>
    <w:p w14:paraId="4634B5FD" w14:textId="4DB29AC0" w:rsidR="00811152" w:rsidRDefault="001A6E48" w:rsidP="007364B1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  <w:proofErr w:type="spellStart"/>
      <w:r w:rsidRPr="001A6E48">
        <w:rPr>
          <w:i/>
          <w:iCs/>
          <w:szCs w:val="24"/>
        </w:rPr>
        <w:t>Jäggi</w:t>
      </w:r>
      <w:proofErr w:type="spellEnd"/>
      <w:r w:rsidRPr="001A6E48">
        <w:rPr>
          <w:i/>
          <w:iCs/>
          <w:szCs w:val="24"/>
        </w:rPr>
        <w:t xml:space="preserve"> contre Suisse du 13 octobre 2006</w:t>
      </w:r>
    </w:p>
    <w:p w14:paraId="169A39E2" w14:textId="08C6847B" w:rsidR="00AA5AC1" w:rsidRDefault="00AA5AC1" w:rsidP="00AA5AC1">
      <w:pPr>
        <w:pStyle w:val="Retraitcorpsdetexte2"/>
        <w:spacing w:line="240" w:lineRule="auto"/>
        <w:ind w:firstLine="708"/>
        <w:jc w:val="both"/>
        <w:rPr>
          <w:szCs w:val="24"/>
        </w:rPr>
      </w:pPr>
      <w:r w:rsidRPr="00AA5AC1">
        <w:rPr>
          <w:szCs w:val="24"/>
        </w:rPr>
        <w:t xml:space="preserve">2°Le réexamen </w:t>
      </w:r>
    </w:p>
    <w:p w14:paraId="42D50A3F" w14:textId="77777777" w:rsidR="00465519" w:rsidRPr="00AA5AC1" w:rsidRDefault="00465519" w:rsidP="00AA5AC1">
      <w:pPr>
        <w:pStyle w:val="Retraitcorpsdetexte2"/>
        <w:spacing w:line="240" w:lineRule="auto"/>
        <w:ind w:firstLine="708"/>
        <w:jc w:val="both"/>
        <w:rPr>
          <w:szCs w:val="24"/>
        </w:rPr>
      </w:pPr>
    </w:p>
    <w:p w14:paraId="7CE60910" w14:textId="430B5B4B" w:rsidR="0023225A" w:rsidRPr="009D5855" w:rsidRDefault="0023225A" w:rsidP="009D5855">
      <w:pPr>
        <w:pStyle w:val="Retraitcorpsdetexte2"/>
        <w:spacing w:line="240" w:lineRule="auto"/>
        <w:jc w:val="both"/>
        <w:rPr>
          <w:b/>
          <w:bCs/>
          <w:szCs w:val="24"/>
        </w:rPr>
      </w:pPr>
      <w:r w:rsidRPr="009D5855">
        <w:rPr>
          <w:b/>
          <w:bCs/>
          <w:szCs w:val="24"/>
        </w:rPr>
        <w:t>§2. La demande d’avis</w:t>
      </w:r>
    </w:p>
    <w:p w14:paraId="20646A90" w14:textId="3F10F652" w:rsidR="00AE5808" w:rsidRDefault="00465519" w:rsidP="00465519">
      <w:pPr>
        <w:pStyle w:val="Retraitcorpsdetexte2"/>
        <w:spacing w:line="240" w:lineRule="auto"/>
        <w:ind w:firstLine="0"/>
        <w:jc w:val="both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Avis consultatif</w:t>
      </w:r>
      <w:r w:rsidR="00AE5808" w:rsidRPr="00465519">
        <w:rPr>
          <w:b/>
          <w:bCs/>
          <w:i/>
          <w:iCs/>
          <w:szCs w:val="24"/>
        </w:rPr>
        <w:t xml:space="preserve"> </w:t>
      </w:r>
      <w:r w:rsidR="00AE5808" w:rsidRPr="00AE5808">
        <w:rPr>
          <w:b/>
          <w:bCs/>
          <w:i/>
          <w:iCs/>
          <w:szCs w:val="24"/>
        </w:rPr>
        <w:t>relatif à la reconnaissance en droit interne d’un lien de filiation</w:t>
      </w:r>
      <w:r w:rsidR="00AE5808" w:rsidRPr="00465519">
        <w:rPr>
          <w:b/>
          <w:bCs/>
          <w:i/>
          <w:iCs/>
          <w:szCs w:val="24"/>
        </w:rPr>
        <w:t xml:space="preserve"> </w:t>
      </w:r>
      <w:r w:rsidR="00AE5808" w:rsidRPr="00AE5808">
        <w:rPr>
          <w:b/>
          <w:bCs/>
          <w:i/>
          <w:iCs/>
          <w:szCs w:val="24"/>
        </w:rPr>
        <w:t>entre un enfant né d’une gestation pour autrui pratiquée à l’étranger</w:t>
      </w:r>
      <w:r w:rsidR="00AE5808" w:rsidRPr="00465519">
        <w:rPr>
          <w:b/>
          <w:bCs/>
          <w:i/>
          <w:iCs/>
          <w:szCs w:val="24"/>
        </w:rPr>
        <w:t xml:space="preserve"> </w:t>
      </w:r>
      <w:r w:rsidR="00AE5808" w:rsidRPr="00AE5808">
        <w:rPr>
          <w:b/>
          <w:bCs/>
          <w:i/>
          <w:iCs/>
          <w:szCs w:val="24"/>
        </w:rPr>
        <w:t>et la mère d’intention</w:t>
      </w:r>
      <w:r w:rsidRPr="00465519">
        <w:rPr>
          <w:b/>
          <w:bCs/>
          <w:i/>
          <w:iCs/>
          <w:szCs w:val="24"/>
        </w:rPr>
        <w:t xml:space="preserve">, 10 avril 2019 </w:t>
      </w:r>
      <w:r w:rsidR="00AE5808" w:rsidRPr="00AE5808">
        <w:rPr>
          <w:b/>
          <w:bCs/>
          <w:i/>
          <w:iCs/>
          <w:szCs w:val="24"/>
        </w:rPr>
        <w:t>(Demande no P16-2018-001)</w:t>
      </w:r>
    </w:p>
    <w:p w14:paraId="681858E8" w14:textId="1462C14C" w:rsidR="00FA3B5F" w:rsidRDefault="005F5591" w:rsidP="005F5591">
      <w:pPr>
        <w:pStyle w:val="Retraitcorpsdetexte2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 xml:space="preserve">Cass. </w:t>
      </w:r>
      <w:proofErr w:type="spellStart"/>
      <w:r w:rsidRPr="005F5591">
        <w:rPr>
          <w:szCs w:val="24"/>
        </w:rPr>
        <w:t>Ass</w:t>
      </w:r>
      <w:proofErr w:type="spellEnd"/>
      <w:r w:rsidRPr="005F5591">
        <w:rPr>
          <w:szCs w:val="24"/>
        </w:rPr>
        <w:t xml:space="preserve">. </w:t>
      </w:r>
      <w:proofErr w:type="spellStart"/>
      <w:r w:rsidRPr="005F5591">
        <w:rPr>
          <w:szCs w:val="24"/>
        </w:rPr>
        <w:t>Plen</w:t>
      </w:r>
      <w:proofErr w:type="spellEnd"/>
      <w:r w:rsidRPr="005F5591">
        <w:rPr>
          <w:szCs w:val="24"/>
        </w:rPr>
        <w:t>. 4 octobre 2019, n°10-19.053</w:t>
      </w:r>
    </w:p>
    <w:p w14:paraId="6ED3C693" w14:textId="5E965B8B" w:rsidR="005F5591" w:rsidRDefault="005F5591" w:rsidP="005F5591">
      <w:pPr>
        <w:pStyle w:val="Retraitcorpsdetexte2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 xml:space="preserve">Cass. </w:t>
      </w:r>
      <w:proofErr w:type="spellStart"/>
      <w:r>
        <w:rPr>
          <w:szCs w:val="24"/>
        </w:rPr>
        <w:t>Civ</w:t>
      </w:r>
      <w:proofErr w:type="spellEnd"/>
      <w:r>
        <w:rPr>
          <w:szCs w:val="24"/>
        </w:rPr>
        <w:t>. 1</w:t>
      </w:r>
      <w:r w:rsidRPr="005F5591">
        <w:rPr>
          <w:szCs w:val="24"/>
          <w:vertAlign w:val="superscript"/>
        </w:rPr>
        <w:t>ère</w:t>
      </w:r>
      <w:r>
        <w:rPr>
          <w:szCs w:val="24"/>
        </w:rPr>
        <w:t xml:space="preserve">, </w:t>
      </w:r>
      <w:r w:rsidR="000B2637">
        <w:rPr>
          <w:szCs w:val="24"/>
        </w:rPr>
        <w:t xml:space="preserve">18 décembre 2019, </w:t>
      </w:r>
      <w:r w:rsidR="000B2637" w:rsidRPr="000B2637">
        <w:rPr>
          <w:szCs w:val="24"/>
        </w:rPr>
        <w:t>N° 18-12.327 et n° 18-11.815.</w:t>
      </w:r>
    </w:p>
    <w:p w14:paraId="23DACE5B" w14:textId="58A3738A" w:rsidR="002C5504" w:rsidRDefault="00C25D60" w:rsidP="00C25D60">
      <w:pPr>
        <w:pStyle w:val="Retraitcorpsdetexte2"/>
        <w:spacing w:line="240" w:lineRule="auto"/>
        <w:ind w:firstLine="0"/>
        <w:jc w:val="both"/>
        <w:rPr>
          <w:bCs/>
          <w:szCs w:val="24"/>
        </w:rPr>
      </w:pPr>
      <w:r>
        <w:rPr>
          <w:bCs/>
          <w:szCs w:val="24"/>
        </w:rPr>
        <w:t xml:space="preserve">D. </w:t>
      </w:r>
      <w:r w:rsidR="002C5504" w:rsidRPr="002C5504">
        <w:rPr>
          <w:bCs/>
          <w:szCs w:val="24"/>
        </w:rPr>
        <w:t>c/ France, 16 juillet 2020</w:t>
      </w:r>
    </w:p>
    <w:p w14:paraId="7B621766" w14:textId="1680DD56" w:rsidR="00C25D60" w:rsidRDefault="00C25D60" w:rsidP="00C25D60">
      <w:pPr>
        <w:pStyle w:val="Retraitcorpsdetexte2"/>
        <w:spacing w:line="240" w:lineRule="auto"/>
        <w:ind w:firstLine="0"/>
        <w:jc w:val="both"/>
        <w:rPr>
          <w:bCs/>
          <w:szCs w:val="24"/>
        </w:rPr>
      </w:pPr>
      <w:proofErr w:type="spellStart"/>
      <w:r w:rsidRPr="00D45F80">
        <w:rPr>
          <w:bCs/>
          <w:szCs w:val="24"/>
        </w:rPr>
        <w:t>Valdís</w:t>
      </w:r>
      <w:proofErr w:type="spellEnd"/>
      <w:r w:rsidRPr="00D45F80">
        <w:rPr>
          <w:bCs/>
          <w:szCs w:val="24"/>
        </w:rPr>
        <w:t xml:space="preserve"> </w:t>
      </w:r>
      <w:proofErr w:type="spellStart"/>
      <w:r w:rsidRPr="00D45F80">
        <w:rPr>
          <w:bCs/>
          <w:szCs w:val="24"/>
        </w:rPr>
        <w:t>Fjölnisdóttir</w:t>
      </w:r>
      <w:proofErr w:type="spellEnd"/>
      <w:r w:rsidRPr="00D45F80">
        <w:rPr>
          <w:bCs/>
          <w:szCs w:val="24"/>
        </w:rPr>
        <w:t xml:space="preserve"> et autres c/ Islande18 mai 2021</w:t>
      </w:r>
    </w:p>
    <w:p w14:paraId="432FCC32" w14:textId="423BE560" w:rsidR="00280190" w:rsidRDefault="00280190" w:rsidP="00C25D60">
      <w:pPr>
        <w:pStyle w:val="Retraitcorpsdetexte2"/>
        <w:spacing w:line="240" w:lineRule="auto"/>
        <w:ind w:firstLine="0"/>
        <w:jc w:val="both"/>
        <w:rPr>
          <w:lang w:val="en-GB"/>
        </w:rPr>
      </w:pPr>
      <w:r w:rsidRPr="00280190">
        <w:rPr>
          <w:lang w:val="en-GB"/>
        </w:rPr>
        <w:t xml:space="preserve">A.M. c. </w:t>
      </w:r>
      <w:proofErr w:type="spellStart"/>
      <w:r w:rsidRPr="00280190">
        <w:rPr>
          <w:lang w:val="en-GB"/>
        </w:rPr>
        <w:t>Norvège</w:t>
      </w:r>
      <w:proofErr w:type="spellEnd"/>
      <w:r w:rsidRPr="00280190">
        <w:rPr>
          <w:lang w:val="en-GB"/>
        </w:rPr>
        <w:t>, 24 mars 2022</w:t>
      </w:r>
    </w:p>
    <w:p w14:paraId="4A950BD5" w14:textId="52F3BC6D" w:rsidR="001B5E95" w:rsidRPr="001B5E95" w:rsidRDefault="001B5E95" w:rsidP="00C25D60">
      <w:pPr>
        <w:pStyle w:val="Retraitcorpsdetexte2"/>
        <w:spacing w:line="240" w:lineRule="auto"/>
        <w:ind w:firstLine="0"/>
        <w:jc w:val="both"/>
        <w:rPr>
          <w:szCs w:val="24"/>
        </w:rPr>
      </w:pPr>
      <w:r w:rsidRPr="001B5E95">
        <w:rPr>
          <w:szCs w:val="24"/>
        </w:rPr>
        <w:t>A. L. c. France du 7 avril 2022</w:t>
      </w:r>
    </w:p>
    <w:p w14:paraId="4758E403" w14:textId="77777777" w:rsidR="00AE5808" w:rsidRPr="001B5E95" w:rsidRDefault="00AE5808" w:rsidP="00AE5808">
      <w:pPr>
        <w:pStyle w:val="Retraitcorpsdetexte2"/>
        <w:jc w:val="both"/>
        <w:rPr>
          <w:i/>
          <w:iCs/>
          <w:szCs w:val="24"/>
        </w:rPr>
      </w:pPr>
      <w:r w:rsidRPr="001B5E95">
        <w:rPr>
          <w:i/>
          <w:iCs/>
          <w:szCs w:val="24"/>
        </w:rPr>
        <w:t> </w:t>
      </w:r>
    </w:p>
    <w:p w14:paraId="7777FDE3" w14:textId="77777777" w:rsidR="00AA5AC1" w:rsidRDefault="00AA5AC1" w:rsidP="007364B1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</w:p>
    <w:p w14:paraId="78E7B883" w14:textId="77777777" w:rsidR="001A6E48" w:rsidRPr="007364B1" w:rsidRDefault="001A6E48" w:rsidP="007364B1">
      <w:pPr>
        <w:pStyle w:val="Retraitcorpsdetexte2"/>
        <w:spacing w:line="240" w:lineRule="auto"/>
        <w:ind w:firstLine="0"/>
        <w:jc w:val="both"/>
        <w:rPr>
          <w:i/>
          <w:iCs/>
          <w:szCs w:val="24"/>
        </w:rPr>
      </w:pPr>
    </w:p>
    <w:p w14:paraId="198729E2" w14:textId="77777777" w:rsidR="00584FFE" w:rsidRPr="005952B4" w:rsidRDefault="00584FFE" w:rsidP="005952B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12809C78" w14:textId="77777777" w:rsidR="009F2650" w:rsidRPr="00E00010" w:rsidRDefault="009F2650" w:rsidP="00E0001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24E1B833" w14:textId="152C7EEA" w:rsidR="00DA0807" w:rsidRPr="00DA0807" w:rsidRDefault="00DA0807" w:rsidP="00DA0807">
      <w:pPr>
        <w:spacing w:line="360" w:lineRule="auto"/>
        <w:jc w:val="center"/>
        <w:rPr>
          <w:sz w:val="28"/>
          <w:szCs w:val="28"/>
        </w:rPr>
      </w:pPr>
    </w:p>
    <w:p w14:paraId="5E77EDAF" w14:textId="77777777" w:rsidR="00DA0807" w:rsidRDefault="00DA0807" w:rsidP="00DA0807"/>
    <w:sectPr w:rsidR="00DA0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82753"/>
    <w:multiLevelType w:val="hybridMultilevel"/>
    <w:tmpl w:val="8F96D020"/>
    <w:lvl w:ilvl="0" w:tplc="127ECDB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924DD"/>
    <w:multiLevelType w:val="hybridMultilevel"/>
    <w:tmpl w:val="9864D2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A30C0"/>
    <w:multiLevelType w:val="hybridMultilevel"/>
    <w:tmpl w:val="BA143EC0"/>
    <w:lvl w:ilvl="0" w:tplc="564C0E6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995265"/>
    <w:multiLevelType w:val="hybridMultilevel"/>
    <w:tmpl w:val="1650779E"/>
    <w:lvl w:ilvl="0" w:tplc="F39C6EF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B9429C"/>
    <w:multiLevelType w:val="multilevel"/>
    <w:tmpl w:val="4CD28D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upperRoman"/>
      <w:suff w:val="space"/>
      <w:lvlText w:val="%2."/>
      <w:lvlJc w:val="left"/>
      <w:pPr>
        <w:ind w:left="499" w:hanging="357"/>
      </w:pPr>
      <w:rPr>
        <w:sz w:val="24"/>
      </w:rPr>
    </w:lvl>
    <w:lvl w:ilvl="2">
      <w:start w:val="1"/>
      <w:numFmt w:val="upperLetter"/>
      <w:lvlText w:val="%3."/>
      <w:lvlJc w:val="left"/>
      <w:pPr>
        <w:ind w:left="494" w:hanging="352"/>
      </w:pPr>
    </w:lvl>
    <w:lvl w:ilvl="3">
      <w:start w:val="1"/>
      <w:numFmt w:val="decimal"/>
      <w:lvlText w:val="%4."/>
      <w:lvlJc w:val="left"/>
      <w:pPr>
        <w:ind w:left="1010" w:hanging="300"/>
      </w:pPr>
    </w:lvl>
    <w:lvl w:ilvl="4">
      <w:start w:val="1"/>
      <w:numFmt w:val="lowerLetter"/>
      <w:lvlText w:val="%5)"/>
      <w:lvlJc w:val="left"/>
      <w:pPr>
        <w:ind w:left="340" w:hanging="340"/>
      </w:pPr>
    </w:lvl>
    <w:lvl w:ilvl="5">
      <w:start w:val="1"/>
      <w:numFmt w:val="lowerRoman"/>
      <w:suff w:val="space"/>
      <w:lvlText w:val="%6."/>
      <w:lvlJc w:val="left"/>
      <w:pPr>
        <w:ind w:left="1191" w:hanging="358"/>
      </w:pPr>
    </w:lvl>
    <w:lvl w:ilvl="6">
      <w:start w:val="1"/>
      <w:numFmt w:val="lowerLetter"/>
      <w:lvlText w:val="%7)"/>
      <w:lvlJc w:val="left"/>
      <w:pPr>
        <w:ind w:left="1372" w:hanging="334"/>
      </w:pPr>
      <w:rPr>
        <w:rFonts w:ascii="Symbol" w:hAnsi="Symbol" w:hint="default"/>
        <w:sz w:val="20"/>
      </w:rPr>
    </w:lvl>
    <w:lvl w:ilvl="7">
      <w:start w:val="1"/>
      <w:numFmt w:val="bullet"/>
      <w:lvlText w:val="‒"/>
      <w:lvlJc w:val="left"/>
      <w:pPr>
        <w:ind w:left="1304" w:hanging="68"/>
      </w:pPr>
      <w:rPr>
        <w:rFonts w:ascii="Calibri" w:hAnsi="Calibri" w:cs="Times New Roman" w:hint="default"/>
        <w:color w:val="auto"/>
      </w:rPr>
    </w:lvl>
    <w:lvl w:ilvl="8">
      <w:start w:val="1"/>
      <w:numFmt w:val="none"/>
      <w:lvlText w:val="%9"/>
      <w:lvlJc w:val="right"/>
      <w:pPr>
        <w:ind w:left="7313" w:hanging="180"/>
      </w:pPr>
    </w:lvl>
  </w:abstractNum>
  <w:abstractNum w:abstractNumId="5" w15:restartNumberingAfterBreak="0">
    <w:nsid w:val="66686877"/>
    <w:multiLevelType w:val="hybridMultilevel"/>
    <w:tmpl w:val="14882588"/>
    <w:lvl w:ilvl="0" w:tplc="1A86C9E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BA5E83"/>
    <w:multiLevelType w:val="hybridMultilevel"/>
    <w:tmpl w:val="0AC44D1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75929"/>
    <w:multiLevelType w:val="hybridMultilevel"/>
    <w:tmpl w:val="57C81824"/>
    <w:lvl w:ilvl="0" w:tplc="6B5AEED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43311FA"/>
    <w:multiLevelType w:val="hybridMultilevel"/>
    <w:tmpl w:val="0534DC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192736">
    <w:abstractNumId w:val="2"/>
  </w:num>
  <w:num w:numId="2" w16cid:durableId="630669739">
    <w:abstractNumId w:val="6"/>
  </w:num>
  <w:num w:numId="3" w16cid:durableId="1372145185">
    <w:abstractNumId w:val="0"/>
  </w:num>
  <w:num w:numId="4" w16cid:durableId="1563253169">
    <w:abstractNumId w:val="1"/>
  </w:num>
  <w:num w:numId="5" w16cid:durableId="760224383">
    <w:abstractNumId w:val="8"/>
  </w:num>
  <w:num w:numId="6" w16cid:durableId="538128000">
    <w:abstractNumId w:val="7"/>
  </w:num>
  <w:num w:numId="7" w16cid:durableId="251163179">
    <w:abstractNumId w:val="3"/>
  </w:num>
  <w:num w:numId="8" w16cid:durableId="998771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9" w16cid:durableId="1799642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C6"/>
    <w:rsid w:val="000026A6"/>
    <w:rsid w:val="00012E14"/>
    <w:rsid w:val="00016477"/>
    <w:rsid w:val="00045F9A"/>
    <w:rsid w:val="00050EA8"/>
    <w:rsid w:val="00063840"/>
    <w:rsid w:val="000B2637"/>
    <w:rsid w:val="000E4F5B"/>
    <w:rsid w:val="000F3A24"/>
    <w:rsid w:val="001764A8"/>
    <w:rsid w:val="00176E32"/>
    <w:rsid w:val="00181D17"/>
    <w:rsid w:val="00191C28"/>
    <w:rsid w:val="00197667"/>
    <w:rsid w:val="001A6E0E"/>
    <w:rsid w:val="001A6E48"/>
    <w:rsid w:val="001B5E95"/>
    <w:rsid w:val="002212A1"/>
    <w:rsid w:val="0022523F"/>
    <w:rsid w:val="0023225A"/>
    <w:rsid w:val="00243D74"/>
    <w:rsid w:val="00280190"/>
    <w:rsid w:val="002B007E"/>
    <w:rsid w:val="002C5504"/>
    <w:rsid w:val="00310701"/>
    <w:rsid w:val="003346B2"/>
    <w:rsid w:val="003508BE"/>
    <w:rsid w:val="003C7E55"/>
    <w:rsid w:val="0040266B"/>
    <w:rsid w:val="0042531E"/>
    <w:rsid w:val="0043501B"/>
    <w:rsid w:val="00465519"/>
    <w:rsid w:val="004C1E59"/>
    <w:rsid w:val="004E6F4B"/>
    <w:rsid w:val="00531B29"/>
    <w:rsid w:val="00583DDC"/>
    <w:rsid w:val="00583E2B"/>
    <w:rsid w:val="00584FFE"/>
    <w:rsid w:val="005952B4"/>
    <w:rsid w:val="005D0AF0"/>
    <w:rsid w:val="005E18DC"/>
    <w:rsid w:val="005F5591"/>
    <w:rsid w:val="00603A72"/>
    <w:rsid w:val="006127CB"/>
    <w:rsid w:val="00694CE2"/>
    <w:rsid w:val="006C3632"/>
    <w:rsid w:val="006C4466"/>
    <w:rsid w:val="006D0A93"/>
    <w:rsid w:val="006E6184"/>
    <w:rsid w:val="007033A3"/>
    <w:rsid w:val="007364B1"/>
    <w:rsid w:val="007A0B02"/>
    <w:rsid w:val="00811152"/>
    <w:rsid w:val="008263C2"/>
    <w:rsid w:val="0083203E"/>
    <w:rsid w:val="00856495"/>
    <w:rsid w:val="008822CB"/>
    <w:rsid w:val="008F3DA9"/>
    <w:rsid w:val="00901098"/>
    <w:rsid w:val="009013FB"/>
    <w:rsid w:val="009406C6"/>
    <w:rsid w:val="0094133A"/>
    <w:rsid w:val="00963CC7"/>
    <w:rsid w:val="00996C0E"/>
    <w:rsid w:val="009A6996"/>
    <w:rsid w:val="009D5855"/>
    <w:rsid w:val="009F2650"/>
    <w:rsid w:val="009F3EC4"/>
    <w:rsid w:val="009F487A"/>
    <w:rsid w:val="00AA5AC1"/>
    <w:rsid w:val="00AE5808"/>
    <w:rsid w:val="00B122AB"/>
    <w:rsid w:val="00B93BFC"/>
    <w:rsid w:val="00B957F9"/>
    <w:rsid w:val="00C25D60"/>
    <w:rsid w:val="00C305FE"/>
    <w:rsid w:val="00C43C60"/>
    <w:rsid w:val="00CB1527"/>
    <w:rsid w:val="00CD6C39"/>
    <w:rsid w:val="00CD6F1D"/>
    <w:rsid w:val="00D1382B"/>
    <w:rsid w:val="00D36C7E"/>
    <w:rsid w:val="00D92340"/>
    <w:rsid w:val="00DA0807"/>
    <w:rsid w:val="00E00010"/>
    <w:rsid w:val="00E07A8A"/>
    <w:rsid w:val="00F103D2"/>
    <w:rsid w:val="00F16F9D"/>
    <w:rsid w:val="00F17DFA"/>
    <w:rsid w:val="00F31163"/>
    <w:rsid w:val="00F53C32"/>
    <w:rsid w:val="00F728E4"/>
    <w:rsid w:val="00F92AE7"/>
    <w:rsid w:val="00FA3B5F"/>
    <w:rsid w:val="00FA7F94"/>
    <w:rsid w:val="00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08B2"/>
  <w15:chartTrackingRefBased/>
  <w15:docId w15:val="{7C11E092-83BF-452F-A126-36DAD307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0807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rsid w:val="00DA0807"/>
    <w:pPr>
      <w:spacing w:after="0" w:line="360" w:lineRule="auto"/>
      <w:ind w:firstLine="284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DA0807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s6b621b36">
    <w:name w:val="s6b621b36"/>
    <w:basedOn w:val="Policepardfaut"/>
    <w:rsid w:val="000E4F5B"/>
  </w:style>
  <w:style w:type="character" w:customStyle="1" w:styleId="sf1c7242d">
    <w:name w:val="sf1c7242d"/>
    <w:basedOn w:val="Policepardfaut"/>
    <w:rsid w:val="000E4F5B"/>
  </w:style>
  <w:style w:type="character" w:styleId="Lienhypertexte">
    <w:name w:val="Hyperlink"/>
    <w:basedOn w:val="Policepardfaut"/>
    <w:uiPriority w:val="99"/>
    <w:unhideWhenUsed/>
    <w:rsid w:val="000E4F5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3C6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0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0A93"/>
    <w:rPr>
      <w:rFonts w:ascii="Segoe UI" w:hAnsi="Segoe UI" w:cs="Segoe UI"/>
      <w:sz w:val="18"/>
      <w:szCs w:val="18"/>
    </w:rPr>
  </w:style>
  <w:style w:type="character" w:customStyle="1" w:styleId="hl">
    <w:name w:val="hl"/>
    <w:basedOn w:val="Policepardfaut"/>
    <w:rsid w:val="00CD6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doc.echr.coe.int/eng" TargetMode="External"/><Relationship Id="rId5" Type="http://schemas.openxmlformats.org/officeDocument/2006/relationships/hyperlink" Target="https://hudoc.echr.coe.int/e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5095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Gouttenoire</dc:creator>
  <cp:keywords/>
  <dc:description/>
  <cp:lastModifiedBy>Adeline Gouttenoire</cp:lastModifiedBy>
  <cp:revision>2</cp:revision>
  <dcterms:created xsi:type="dcterms:W3CDTF">2022-09-12T08:49:00Z</dcterms:created>
  <dcterms:modified xsi:type="dcterms:W3CDTF">2022-09-12T08:49:00Z</dcterms:modified>
</cp:coreProperties>
</file>