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0014" w14:textId="789B87B2" w:rsidR="00DB07FD" w:rsidRPr="00DD3495" w:rsidRDefault="00DD3495" w:rsidP="00DD3495">
      <w:pPr>
        <w:jc w:val="center"/>
        <w:rPr>
          <w:rFonts w:ascii="Times New Roman" w:hAnsi="Times New Roman" w:cs="Times New Roman"/>
          <w:b/>
          <w:bCs/>
          <w:sz w:val="24"/>
          <w:szCs w:val="24"/>
        </w:rPr>
      </w:pPr>
      <w:r w:rsidRPr="00DD3495">
        <w:rPr>
          <w:rFonts w:ascii="Times New Roman" w:hAnsi="Times New Roman" w:cs="Times New Roman"/>
          <w:b/>
          <w:bCs/>
          <w:sz w:val="24"/>
          <w:szCs w:val="24"/>
        </w:rPr>
        <w:t>Droit européen des droits de l’homme</w:t>
      </w:r>
    </w:p>
    <w:p w14:paraId="01B1BEFD" w14:textId="41E605A4" w:rsidR="00DD3495" w:rsidRPr="00DD3495" w:rsidRDefault="00DD3495" w:rsidP="00DD3495">
      <w:pPr>
        <w:jc w:val="center"/>
        <w:rPr>
          <w:rFonts w:ascii="Times New Roman" w:hAnsi="Times New Roman" w:cs="Times New Roman"/>
          <w:b/>
          <w:bCs/>
          <w:sz w:val="24"/>
          <w:szCs w:val="24"/>
        </w:rPr>
      </w:pPr>
      <w:r w:rsidRPr="00DD3495">
        <w:rPr>
          <w:rFonts w:ascii="Times New Roman" w:hAnsi="Times New Roman" w:cs="Times New Roman"/>
          <w:b/>
          <w:bCs/>
          <w:sz w:val="24"/>
          <w:szCs w:val="24"/>
        </w:rPr>
        <w:t>Séance 5 : La protection de l’intégrité physique de la personnes</w:t>
      </w:r>
    </w:p>
    <w:p w14:paraId="30733919" w14:textId="256670A5" w:rsidR="00DD3495" w:rsidRDefault="00DD3495">
      <w:pPr>
        <w:rPr>
          <w:rFonts w:ascii="Times New Roman" w:hAnsi="Times New Roman" w:cs="Times New Roman"/>
          <w:sz w:val="24"/>
          <w:szCs w:val="24"/>
        </w:rPr>
      </w:pPr>
    </w:p>
    <w:p w14:paraId="65FC237C" w14:textId="77777777" w:rsidR="00DD3495" w:rsidRPr="00DD3495" w:rsidRDefault="00DD3495">
      <w:pPr>
        <w:rPr>
          <w:rFonts w:ascii="Times New Roman" w:hAnsi="Times New Roman" w:cs="Times New Roman"/>
          <w:sz w:val="24"/>
          <w:szCs w:val="24"/>
        </w:rPr>
      </w:pPr>
    </w:p>
    <w:p w14:paraId="08B32FA7" w14:textId="14EA3912" w:rsidR="00DD3495" w:rsidRDefault="00DD3495">
      <w:pPr>
        <w:rPr>
          <w:rFonts w:ascii="Times New Roman" w:hAnsi="Times New Roman" w:cs="Times New Roman"/>
          <w:sz w:val="24"/>
          <w:szCs w:val="24"/>
        </w:rPr>
      </w:pPr>
      <w:r w:rsidRPr="00760E8D">
        <w:rPr>
          <w:rFonts w:ascii="Times New Roman" w:hAnsi="Times New Roman" w:cs="Times New Roman"/>
          <w:b/>
          <w:bCs/>
          <w:sz w:val="24"/>
          <w:szCs w:val="24"/>
        </w:rPr>
        <w:t>Dissertation</w:t>
      </w:r>
      <w:r w:rsidRPr="00DD3495">
        <w:rPr>
          <w:rFonts w:ascii="Times New Roman" w:hAnsi="Times New Roman" w:cs="Times New Roman"/>
          <w:sz w:val="24"/>
          <w:szCs w:val="24"/>
        </w:rPr>
        <w:t> : Les violences intra-familiales dans la jurisprudence de la Cour européenne des droits de l’homme</w:t>
      </w:r>
    </w:p>
    <w:p w14:paraId="789C2607" w14:textId="196BC71E" w:rsidR="00DD3495" w:rsidRDefault="00DD3495">
      <w:pPr>
        <w:rPr>
          <w:rFonts w:ascii="Times New Roman" w:hAnsi="Times New Roman" w:cs="Times New Roman"/>
          <w:sz w:val="24"/>
          <w:szCs w:val="24"/>
        </w:rPr>
      </w:pPr>
    </w:p>
    <w:p w14:paraId="56C28504" w14:textId="7F75D05A" w:rsidR="00DD3495" w:rsidRDefault="00DD3495">
      <w:pPr>
        <w:rPr>
          <w:rFonts w:ascii="Times New Roman" w:hAnsi="Times New Roman" w:cs="Times New Roman"/>
          <w:sz w:val="24"/>
          <w:szCs w:val="24"/>
        </w:rPr>
      </w:pPr>
      <w:r>
        <w:rPr>
          <w:rFonts w:ascii="Times New Roman" w:hAnsi="Times New Roman" w:cs="Times New Roman"/>
          <w:sz w:val="24"/>
          <w:szCs w:val="24"/>
        </w:rPr>
        <w:br w:type="page"/>
      </w:r>
    </w:p>
    <w:p w14:paraId="6A68DBEF" w14:textId="77777777" w:rsidR="00DD3495" w:rsidRPr="00DD3495" w:rsidRDefault="00DD3495" w:rsidP="00DD3495">
      <w:pPr>
        <w:jc w:val="center"/>
        <w:rPr>
          <w:rFonts w:ascii="Times New Roman" w:hAnsi="Times New Roman" w:cs="Times New Roman"/>
          <w:b/>
          <w:bCs/>
          <w:sz w:val="24"/>
          <w:szCs w:val="24"/>
        </w:rPr>
      </w:pPr>
      <w:r w:rsidRPr="00DD3495">
        <w:rPr>
          <w:rFonts w:ascii="Times New Roman" w:hAnsi="Times New Roman" w:cs="Times New Roman"/>
          <w:b/>
          <w:bCs/>
          <w:sz w:val="24"/>
          <w:szCs w:val="24"/>
        </w:rPr>
        <w:lastRenderedPageBreak/>
        <w:t>Droit européen des droits de l’homme</w:t>
      </w:r>
    </w:p>
    <w:p w14:paraId="53CA4D1B" w14:textId="5CE0FE09" w:rsidR="00DD3495" w:rsidRPr="00DD3495" w:rsidRDefault="00DD3495" w:rsidP="00DD3495">
      <w:pPr>
        <w:jc w:val="center"/>
        <w:rPr>
          <w:rFonts w:ascii="Times New Roman" w:hAnsi="Times New Roman" w:cs="Times New Roman"/>
          <w:b/>
          <w:bCs/>
          <w:sz w:val="24"/>
          <w:szCs w:val="24"/>
        </w:rPr>
      </w:pPr>
      <w:r w:rsidRPr="00DD3495">
        <w:rPr>
          <w:rFonts w:ascii="Times New Roman" w:hAnsi="Times New Roman" w:cs="Times New Roman"/>
          <w:b/>
          <w:bCs/>
          <w:sz w:val="24"/>
          <w:szCs w:val="24"/>
        </w:rPr>
        <w:t xml:space="preserve">Séance </w:t>
      </w:r>
      <w:r>
        <w:rPr>
          <w:rFonts w:ascii="Times New Roman" w:hAnsi="Times New Roman" w:cs="Times New Roman"/>
          <w:b/>
          <w:bCs/>
          <w:sz w:val="24"/>
          <w:szCs w:val="24"/>
        </w:rPr>
        <w:t>6</w:t>
      </w:r>
      <w:r w:rsidRPr="00DD3495">
        <w:rPr>
          <w:rFonts w:ascii="Times New Roman" w:hAnsi="Times New Roman" w:cs="Times New Roman"/>
          <w:b/>
          <w:bCs/>
          <w:sz w:val="24"/>
          <w:szCs w:val="24"/>
        </w:rPr>
        <w:t xml:space="preserve"> : La protection de </w:t>
      </w:r>
      <w:r>
        <w:rPr>
          <w:rFonts w:ascii="Times New Roman" w:hAnsi="Times New Roman" w:cs="Times New Roman"/>
          <w:b/>
          <w:bCs/>
          <w:sz w:val="24"/>
          <w:szCs w:val="24"/>
        </w:rPr>
        <w:t>l’identité</w:t>
      </w:r>
    </w:p>
    <w:p w14:paraId="12FCEEE9" w14:textId="77777777" w:rsidR="00DD3495" w:rsidRDefault="00DD3495" w:rsidP="00DD3495">
      <w:pPr>
        <w:rPr>
          <w:rFonts w:ascii="Times New Roman" w:hAnsi="Times New Roman" w:cs="Times New Roman"/>
          <w:sz w:val="24"/>
          <w:szCs w:val="24"/>
        </w:rPr>
      </w:pPr>
    </w:p>
    <w:p w14:paraId="2074A33C" w14:textId="17904DA1" w:rsidR="00DD3495" w:rsidRDefault="00DD3495" w:rsidP="00DD3495">
      <w:pPr>
        <w:rPr>
          <w:rFonts w:ascii="Times New Roman" w:hAnsi="Times New Roman" w:cs="Times New Roman"/>
          <w:sz w:val="24"/>
        </w:rPr>
      </w:pPr>
      <w:r w:rsidRPr="00DD3495">
        <w:rPr>
          <w:rFonts w:ascii="Times New Roman" w:hAnsi="Times New Roman" w:cs="Times New Roman"/>
          <w:sz w:val="24"/>
        </w:rPr>
        <w:t>Commenter l’arrêt AP. Garçon et Nicot c/ France du 6 avril 2017</w:t>
      </w:r>
    </w:p>
    <w:p w14:paraId="15FEC759" w14:textId="77777777" w:rsidR="00DD3495" w:rsidRPr="00DD3495" w:rsidRDefault="00DD3495" w:rsidP="00DD3495">
      <w:pPr>
        <w:rPr>
          <w:rFonts w:ascii="Times New Roman" w:hAnsi="Times New Roman" w:cs="Times New Roman"/>
          <w:sz w:val="24"/>
        </w:rPr>
      </w:pPr>
    </w:p>
    <w:p w14:paraId="35A6F995" w14:textId="77777777" w:rsidR="00DD3495" w:rsidRDefault="00DD3495" w:rsidP="00DD3495">
      <w:pPr>
        <w:rPr>
          <w:rFonts w:ascii="Arial" w:hAnsi="Arial" w:cs="Arial"/>
          <w:sz w:val="24"/>
        </w:rPr>
      </w:pPr>
      <w:r w:rsidRPr="00800CB5">
        <w:rPr>
          <w:rFonts w:ascii="Arial" w:hAnsi="Arial" w:cs="Arial"/>
          <w:sz w:val="24"/>
        </w:rPr>
        <w:t>AFFAIRE A.P., GARÇON ET NICOT c. France (Requêtes nos 79885/12, 52471/13 et 52596/13)</w:t>
      </w:r>
      <w:r>
        <w:rPr>
          <w:rFonts w:ascii="Arial" w:hAnsi="Arial" w:cs="Arial"/>
          <w:sz w:val="24"/>
        </w:rPr>
        <w:t xml:space="preserve"> du 6 avril 2017 (extrait)</w:t>
      </w:r>
    </w:p>
    <w:p w14:paraId="61C1993A" w14:textId="77777777" w:rsidR="00DD3495" w:rsidRPr="00800CB5" w:rsidRDefault="00DD3495" w:rsidP="00DD3495">
      <w:pPr>
        <w:keepNext/>
        <w:keepLines/>
        <w:tabs>
          <w:tab w:val="left" w:pos="731"/>
        </w:tabs>
        <w:spacing w:before="240" w:after="120" w:line="240" w:lineRule="auto"/>
        <w:ind w:left="732" w:hanging="301"/>
        <w:jc w:val="both"/>
        <w:outlineLvl w:val="2"/>
        <w:rPr>
          <w:rFonts w:ascii="Times New Roman" w:eastAsia="MS Gothic" w:hAnsi="Times New Roman" w:cs="Times New Roman"/>
          <w:bCs/>
          <w:i/>
          <w:sz w:val="24"/>
        </w:rPr>
      </w:pPr>
      <w:bookmarkStart w:id="0" w:name="OLE_LINK1"/>
      <w:r w:rsidRPr="00800CB5">
        <w:rPr>
          <w:rFonts w:ascii="Times New Roman" w:eastAsia="MS Gothic" w:hAnsi="Times New Roman" w:cs="Times New Roman"/>
          <w:bCs/>
          <w:i/>
          <w:sz w:val="24"/>
        </w:rPr>
        <w:t>1.  Questions préliminaires</w:t>
      </w:r>
    </w:p>
    <w:p w14:paraId="5B202694" w14:textId="77777777" w:rsidR="00DD3495" w:rsidRPr="00800CB5" w:rsidRDefault="00DD3495" w:rsidP="00DD3495">
      <w:pPr>
        <w:keepNext/>
        <w:keepLines/>
        <w:tabs>
          <w:tab w:val="left" w:pos="975"/>
        </w:tabs>
        <w:spacing w:before="240" w:after="120" w:line="240" w:lineRule="auto"/>
        <w:ind w:left="975" w:hanging="340"/>
        <w:jc w:val="both"/>
        <w:outlineLvl w:val="3"/>
        <w:rPr>
          <w:rFonts w:ascii="Times New Roman" w:eastAsia="MS Gothic" w:hAnsi="Times New Roman" w:cs="Times New Roman"/>
          <w:b/>
          <w:bCs/>
          <w:iCs/>
          <w:sz w:val="20"/>
        </w:rPr>
      </w:pPr>
      <w:r w:rsidRPr="00800CB5">
        <w:rPr>
          <w:rFonts w:ascii="Times New Roman" w:eastAsia="MS Gothic" w:hAnsi="Times New Roman" w:cs="Times New Roman"/>
          <w:b/>
          <w:bCs/>
          <w:iCs/>
          <w:sz w:val="20"/>
        </w:rPr>
        <w:t>a)  Sur l’applicabilité de l’article 8 de la Convention</w:t>
      </w:r>
    </w:p>
    <w:p w14:paraId="7B74D3CE" w14:textId="77777777" w:rsidR="00DD3495" w:rsidRPr="00800CB5" w:rsidRDefault="00DD3495" w:rsidP="00DD3495">
      <w:pPr>
        <w:spacing w:after="0" w:line="240" w:lineRule="auto"/>
        <w:ind w:firstLine="284"/>
        <w:jc w:val="both"/>
        <w:rPr>
          <w:rFonts w:ascii="Times New Roman" w:eastAsia="MS Mincho" w:hAnsi="Times New Roman" w:cs="Times New Roman"/>
          <w:i/>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92</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La Cour a souligné à de nombreuses reprises que la notion de « vie privée » est une notion large, non susceptible d’une définition exhaustive, qui recouvre non seulement l’intégrité physique et morale de l’individu, mais aussi parfois des aspects de l’identité physique et sociale de celui-ci. Des éléments tels que, par exemple, l’identité ou l’identification sexuelle, le nom, l’orientation sexuelle et la vie sexuelle relèvent de la sphère personnelle protégée par l’article 8 de la Convention (voir, notamment, </w:t>
      </w:r>
      <w:r w:rsidRPr="00800CB5">
        <w:rPr>
          <w:rFonts w:ascii="Times New Roman" w:eastAsia="MS Mincho" w:hAnsi="Times New Roman" w:cs="Times New Roman"/>
          <w:i/>
          <w:sz w:val="24"/>
        </w:rPr>
        <w:t xml:space="preserve">Van </w:t>
      </w:r>
      <w:proofErr w:type="spellStart"/>
      <w:r w:rsidRPr="00800CB5">
        <w:rPr>
          <w:rFonts w:ascii="Times New Roman" w:eastAsia="MS Mincho" w:hAnsi="Times New Roman" w:cs="Times New Roman"/>
          <w:i/>
          <w:sz w:val="24"/>
        </w:rPr>
        <w:t>Kück</w:t>
      </w:r>
      <w:proofErr w:type="spellEnd"/>
      <w:r w:rsidRPr="00800CB5">
        <w:rPr>
          <w:rFonts w:ascii="Times New Roman" w:eastAsia="MS Mincho" w:hAnsi="Times New Roman" w:cs="Times New Roman"/>
          <w:i/>
          <w:sz w:val="24"/>
        </w:rPr>
        <w:t xml:space="preserve"> c. Allemagne</w:t>
      </w:r>
      <w:r w:rsidRPr="00800CB5">
        <w:rPr>
          <w:rFonts w:ascii="Times New Roman" w:eastAsia="MS Mincho" w:hAnsi="Times New Roman" w:cs="Times New Roman"/>
          <w:sz w:val="24"/>
        </w:rPr>
        <w:t>,</w:t>
      </w:r>
      <w:r w:rsidRPr="00800CB5">
        <w:rPr>
          <w:rFonts w:ascii="Times New Roman" w:eastAsia="MS Mincho" w:hAnsi="Times New Roman" w:cs="Times New Roman"/>
          <w:i/>
          <w:sz w:val="24"/>
        </w:rPr>
        <w:t xml:space="preserve"> </w:t>
      </w:r>
      <w:r w:rsidRPr="00800CB5">
        <w:rPr>
          <w:rFonts w:ascii="Times New Roman" w:eastAsia="MS Mincho" w:hAnsi="Times New Roman" w:cs="Times New Roman"/>
          <w:sz w:val="24"/>
        </w:rPr>
        <w:t>n</w:t>
      </w:r>
      <w:r w:rsidRPr="00800CB5">
        <w:rPr>
          <w:rFonts w:ascii="Times New Roman" w:eastAsia="MS Mincho" w:hAnsi="Times New Roman" w:cs="Times New Roman"/>
          <w:sz w:val="24"/>
          <w:vertAlign w:val="superscript"/>
        </w:rPr>
        <w:t>o</w:t>
      </w:r>
      <w:r w:rsidRPr="00800CB5">
        <w:rPr>
          <w:rFonts w:ascii="Times New Roman" w:eastAsia="MS Mincho" w:hAnsi="Times New Roman" w:cs="Times New Roman"/>
          <w:sz w:val="24"/>
        </w:rPr>
        <w:t xml:space="preserve"> 35968/97, § 69, CEDH 2003</w:t>
      </w:r>
      <w:r w:rsidRPr="00800CB5">
        <w:rPr>
          <w:rFonts w:ascii="Times New Roman" w:eastAsia="MS Mincho" w:hAnsi="Times New Roman" w:cs="Times New Roman"/>
          <w:sz w:val="24"/>
        </w:rPr>
        <w:noBreakHyphen/>
        <w:t xml:space="preserve">VII, </w:t>
      </w:r>
      <w:proofErr w:type="spellStart"/>
      <w:r w:rsidRPr="00800CB5">
        <w:rPr>
          <w:rFonts w:ascii="Times New Roman" w:eastAsia="MS Mincho" w:hAnsi="Times New Roman" w:cs="Times New Roman"/>
          <w:i/>
          <w:sz w:val="24"/>
        </w:rPr>
        <w:t>Schlumpf</w:t>
      </w:r>
      <w:proofErr w:type="spellEnd"/>
      <w:r w:rsidRPr="00800CB5">
        <w:rPr>
          <w:rFonts w:ascii="Times New Roman" w:eastAsia="MS Mincho" w:hAnsi="Times New Roman" w:cs="Times New Roman"/>
          <w:i/>
          <w:sz w:val="24"/>
        </w:rPr>
        <w:t xml:space="preserve"> c. Suisse</w:t>
      </w:r>
      <w:r w:rsidRPr="00800CB5">
        <w:rPr>
          <w:rFonts w:ascii="Times New Roman" w:eastAsia="MS Mincho" w:hAnsi="Times New Roman" w:cs="Times New Roman"/>
          <w:sz w:val="24"/>
        </w:rPr>
        <w:t>, n</w:t>
      </w:r>
      <w:r w:rsidRPr="00800CB5">
        <w:rPr>
          <w:rFonts w:ascii="Times New Roman" w:eastAsia="MS Mincho" w:hAnsi="Times New Roman" w:cs="Times New Roman"/>
          <w:sz w:val="24"/>
          <w:vertAlign w:val="superscript"/>
        </w:rPr>
        <w:t>o</w:t>
      </w:r>
      <w:r w:rsidRPr="00800CB5">
        <w:rPr>
          <w:rFonts w:ascii="Times New Roman" w:eastAsia="MS Mincho" w:hAnsi="Times New Roman" w:cs="Times New Roman"/>
          <w:sz w:val="24"/>
        </w:rPr>
        <w:t xml:space="preserve"> 29002/06, § 77, 8 janvier 2009, et </w:t>
      </w:r>
      <w:r w:rsidRPr="00800CB5">
        <w:rPr>
          <w:rFonts w:ascii="Times New Roman" w:eastAsia="MS Mincho" w:hAnsi="Times New Roman" w:cs="Times New Roman"/>
          <w:i/>
          <w:sz w:val="24"/>
        </w:rPr>
        <w:t>Y.Y. c. Turquie</w:t>
      </w:r>
      <w:r w:rsidRPr="00800CB5">
        <w:rPr>
          <w:rFonts w:ascii="Times New Roman" w:eastAsia="MS Mincho" w:hAnsi="Times New Roman" w:cs="Times New Roman"/>
          <w:sz w:val="24"/>
        </w:rPr>
        <w:t xml:space="preserve">, </w:t>
      </w:r>
      <w:r w:rsidRPr="00800CB5">
        <w:rPr>
          <w:rFonts w:ascii="Times New Roman" w:eastAsia="MS Mincho" w:hAnsi="Times New Roman" w:cs="Times New Roman"/>
          <w:snapToGrid w:val="0"/>
          <w:sz w:val="24"/>
        </w:rPr>
        <w:t>précitée, § 56, ainsi que les références qui y sont indiquées).</w:t>
      </w:r>
    </w:p>
    <w:p w14:paraId="4BEE7015"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93</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a également souligné que la notion d’autonomie personnelle reflète un principe important qui sous-tend l’interprétation des garanties de l’article 8 de la Convention (</w:t>
      </w:r>
      <w:r w:rsidRPr="00800CB5">
        <w:rPr>
          <w:rFonts w:ascii="Times New Roman" w:eastAsia="Times New Roman" w:hAnsi="Times New Roman" w:cs="Times New Roman"/>
          <w:sz w:val="24"/>
          <w:szCs w:val="24"/>
          <w:lang w:eastAsia="fr-FR"/>
        </w:rPr>
        <w:t xml:space="preserve">voir </w:t>
      </w:r>
      <w:proofErr w:type="spellStart"/>
      <w:r w:rsidRPr="00800CB5">
        <w:rPr>
          <w:rFonts w:ascii="Times New Roman" w:eastAsia="MS Mincho" w:hAnsi="Times New Roman" w:cs="Times New Roman"/>
          <w:i/>
          <w:sz w:val="24"/>
        </w:rPr>
        <w:t>Pretty</w:t>
      </w:r>
      <w:proofErr w:type="spellEnd"/>
      <w:r w:rsidRPr="00800CB5">
        <w:rPr>
          <w:rFonts w:ascii="Times New Roman" w:eastAsia="MS Mincho" w:hAnsi="Times New Roman" w:cs="Times New Roman"/>
          <w:i/>
          <w:sz w:val="24"/>
        </w:rPr>
        <w:t xml:space="preserve"> c. Royaume-Uni</w:t>
      </w:r>
      <w:r w:rsidRPr="00800CB5">
        <w:rPr>
          <w:rFonts w:ascii="Times New Roman" w:eastAsia="MS Mincho" w:hAnsi="Times New Roman" w:cs="Times New Roman"/>
          <w:sz w:val="24"/>
        </w:rPr>
        <w:t>, n</w:t>
      </w:r>
      <w:r w:rsidRPr="00800CB5">
        <w:rPr>
          <w:rFonts w:ascii="Times New Roman" w:eastAsia="MS Mincho" w:hAnsi="Times New Roman" w:cs="Times New Roman"/>
          <w:sz w:val="24"/>
          <w:vertAlign w:val="superscript"/>
        </w:rPr>
        <w:t>o</w:t>
      </w:r>
      <w:r w:rsidRPr="00800CB5">
        <w:rPr>
          <w:rFonts w:ascii="Times New Roman" w:eastAsia="MS Mincho" w:hAnsi="Times New Roman" w:cs="Times New Roman"/>
          <w:sz w:val="24"/>
        </w:rPr>
        <w:t xml:space="preserve"> 2346/02, § 61, CEDH 2002</w:t>
      </w:r>
      <w:r w:rsidRPr="00800CB5">
        <w:rPr>
          <w:rFonts w:ascii="Times New Roman" w:eastAsia="MS Mincho" w:hAnsi="Times New Roman" w:cs="Times New Roman"/>
          <w:sz w:val="24"/>
        </w:rPr>
        <w:noBreakHyphen/>
        <w:t>III), ce qui l’a conduite à reconnaître, dans le contexte de l’application de cette disposition à la situation des personnes transsexuelles, qu’elle comporte un droit à l’autodétermination (</w:t>
      </w:r>
      <w:r w:rsidRPr="00800CB5">
        <w:rPr>
          <w:rFonts w:ascii="Times New Roman" w:eastAsia="Times New Roman" w:hAnsi="Times New Roman" w:cs="Times New Roman"/>
          <w:sz w:val="24"/>
          <w:szCs w:val="24"/>
          <w:lang w:eastAsia="fr-FR"/>
        </w:rPr>
        <w:t>voir</w:t>
      </w:r>
      <w:r w:rsidRPr="00800CB5">
        <w:rPr>
          <w:rFonts w:ascii="Times New Roman" w:eastAsia="MS Mincho" w:hAnsi="Times New Roman" w:cs="Times New Roman"/>
          <w:sz w:val="24"/>
        </w:rPr>
        <w:t xml:space="preserve">, précités, </w:t>
      </w:r>
      <w:r w:rsidRPr="00800CB5">
        <w:rPr>
          <w:rFonts w:ascii="Times New Roman" w:eastAsia="MS Mincho" w:hAnsi="Times New Roman" w:cs="Times New Roman"/>
          <w:i/>
          <w:sz w:val="24"/>
        </w:rPr>
        <w:t xml:space="preserve">Van </w:t>
      </w:r>
      <w:proofErr w:type="spellStart"/>
      <w:r w:rsidRPr="00800CB5">
        <w:rPr>
          <w:rFonts w:ascii="Times New Roman" w:eastAsia="MS Mincho" w:hAnsi="Times New Roman" w:cs="Times New Roman"/>
          <w:i/>
          <w:sz w:val="24"/>
        </w:rPr>
        <w:t>Kück</w:t>
      </w:r>
      <w:proofErr w:type="spellEnd"/>
      <w:r w:rsidRPr="00800CB5">
        <w:rPr>
          <w:rFonts w:ascii="Times New Roman" w:eastAsia="MS Mincho" w:hAnsi="Times New Roman" w:cs="Times New Roman"/>
          <w:sz w:val="24"/>
        </w:rPr>
        <w:t xml:space="preserve">, § 69, et </w:t>
      </w:r>
      <w:proofErr w:type="spellStart"/>
      <w:r w:rsidRPr="00800CB5">
        <w:rPr>
          <w:rFonts w:ascii="Times New Roman" w:eastAsia="MS Mincho" w:hAnsi="Times New Roman" w:cs="Times New Roman"/>
          <w:i/>
          <w:sz w:val="24"/>
        </w:rPr>
        <w:t>Schlumpf</w:t>
      </w:r>
      <w:proofErr w:type="spellEnd"/>
      <w:r w:rsidRPr="00800CB5">
        <w:rPr>
          <w:rFonts w:ascii="Times New Roman" w:eastAsia="MS Mincho" w:hAnsi="Times New Roman" w:cs="Times New Roman"/>
          <w:sz w:val="24"/>
        </w:rPr>
        <w:t>, § 100), dont la liberté de définir son appartenance sexuelle est l’un des éléments les plus essentiels (</w:t>
      </w:r>
      <w:r w:rsidRPr="00800CB5">
        <w:rPr>
          <w:rFonts w:ascii="Times New Roman" w:eastAsia="MS Mincho" w:hAnsi="Times New Roman" w:cs="Times New Roman"/>
          <w:i/>
          <w:sz w:val="24"/>
        </w:rPr>
        <w:t xml:space="preserve">Van </w:t>
      </w:r>
      <w:proofErr w:type="spellStart"/>
      <w:r w:rsidRPr="00800CB5">
        <w:rPr>
          <w:rFonts w:ascii="Times New Roman" w:eastAsia="MS Mincho" w:hAnsi="Times New Roman" w:cs="Times New Roman"/>
          <w:i/>
          <w:sz w:val="24"/>
        </w:rPr>
        <w:t>Kück</w:t>
      </w:r>
      <w:proofErr w:type="spellEnd"/>
      <w:r w:rsidRPr="00800CB5">
        <w:rPr>
          <w:rFonts w:ascii="Times New Roman" w:eastAsia="MS Mincho" w:hAnsi="Times New Roman" w:cs="Times New Roman"/>
          <w:sz w:val="24"/>
        </w:rPr>
        <w:t xml:space="preserve">, précité, § 73). Elle a de plus indiqué que le droit à l’épanouissement personnel et à l’intégrité physique et morale des personnes transsexuelles est garanti par l’article 8 (voir, notamment, précités, </w:t>
      </w:r>
      <w:r w:rsidRPr="00800CB5">
        <w:rPr>
          <w:rFonts w:ascii="Times New Roman" w:eastAsia="MS Mincho" w:hAnsi="Times New Roman" w:cs="Times New Roman"/>
          <w:i/>
          <w:sz w:val="24"/>
        </w:rPr>
        <w:t xml:space="preserve">Van </w:t>
      </w:r>
      <w:proofErr w:type="spellStart"/>
      <w:r w:rsidRPr="00800CB5">
        <w:rPr>
          <w:rFonts w:ascii="Times New Roman" w:eastAsia="MS Mincho" w:hAnsi="Times New Roman" w:cs="Times New Roman"/>
          <w:i/>
          <w:sz w:val="24"/>
        </w:rPr>
        <w:t>Kück</w:t>
      </w:r>
      <w:proofErr w:type="spellEnd"/>
      <w:r w:rsidRPr="00800CB5">
        <w:rPr>
          <w:rFonts w:ascii="Times New Roman" w:eastAsia="MS Mincho" w:hAnsi="Times New Roman" w:cs="Times New Roman"/>
          <w:sz w:val="24"/>
        </w:rPr>
        <w:t xml:space="preserve">, § 69, </w:t>
      </w:r>
      <w:proofErr w:type="spellStart"/>
      <w:r w:rsidRPr="00800CB5">
        <w:rPr>
          <w:rFonts w:ascii="Times New Roman" w:eastAsia="MS Mincho" w:hAnsi="Times New Roman" w:cs="Times New Roman"/>
          <w:i/>
          <w:sz w:val="24"/>
        </w:rPr>
        <w:t>Schlumpf</w:t>
      </w:r>
      <w:proofErr w:type="spellEnd"/>
      <w:r w:rsidRPr="00800CB5">
        <w:rPr>
          <w:rFonts w:ascii="Times New Roman" w:eastAsia="MS Mincho" w:hAnsi="Times New Roman" w:cs="Times New Roman"/>
          <w:sz w:val="24"/>
        </w:rPr>
        <w:t xml:space="preserve">, § 100, et </w:t>
      </w:r>
      <w:r w:rsidRPr="00800CB5">
        <w:rPr>
          <w:rFonts w:ascii="Times New Roman" w:eastAsia="MS Mincho" w:hAnsi="Times New Roman" w:cs="Times New Roman"/>
          <w:i/>
          <w:sz w:val="24"/>
        </w:rPr>
        <w:t>Y.Y. c. Turquie</w:t>
      </w:r>
      <w:r w:rsidRPr="00800CB5">
        <w:rPr>
          <w:rFonts w:ascii="Times New Roman" w:eastAsia="MS Mincho" w:hAnsi="Times New Roman" w:cs="Times New Roman"/>
          <w:sz w:val="24"/>
        </w:rPr>
        <w:t>, § 58).</w:t>
      </w:r>
    </w:p>
    <w:p w14:paraId="154EC55A"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94</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Les arrêts rendus à ce jour par la Cour dans ce domaine portent sur la reconnaissance légale de l’identité sexuelle de personnes transsexuelles ayant subi une opération de réassignation (</w:t>
      </w:r>
      <w:r w:rsidRPr="00800CB5">
        <w:rPr>
          <w:rFonts w:ascii="Times New Roman" w:eastAsia="MS Mincho" w:hAnsi="Times New Roman" w:cs="Times New Roman"/>
          <w:i/>
          <w:sz w:val="24"/>
        </w:rPr>
        <w:t>Rees c. Royaume-Uni</w:t>
      </w:r>
      <w:r w:rsidRPr="00800CB5">
        <w:rPr>
          <w:rFonts w:ascii="Times New Roman" w:eastAsia="MS Mincho" w:hAnsi="Times New Roman" w:cs="Times New Roman"/>
          <w:sz w:val="24"/>
        </w:rPr>
        <w:t>, 17 octobre 1986, série A n</w:t>
      </w:r>
      <w:r w:rsidRPr="00800CB5">
        <w:rPr>
          <w:rFonts w:ascii="Times New Roman" w:eastAsia="MS Mincho" w:hAnsi="Times New Roman" w:cs="Times New Roman"/>
          <w:sz w:val="24"/>
          <w:vertAlign w:val="superscript"/>
        </w:rPr>
        <w:t>o</w:t>
      </w:r>
      <w:r w:rsidRPr="00800CB5">
        <w:rPr>
          <w:rFonts w:ascii="Times New Roman" w:eastAsia="MS Mincho" w:hAnsi="Times New Roman" w:cs="Times New Roman"/>
          <w:sz w:val="24"/>
        </w:rPr>
        <w:t xml:space="preserve"> 106 ; </w:t>
      </w:r>
      <w:proofErr w:type="spellStart"/>
      <w:r w:rsidRPr="00800CB5">
        <w:rPr>
          <w:rFonts w:ascii="Times New Roman" w:eastAsia="MS Mincho" w:hAnsi="Times New Roman" w:cs="Times New Roman"/>
          <w:i/>
          <w:sz w:val="24"/>
        </w:rPr>
        <w:t>Cossey</w:t>
      </w:r>
      <w:proofErr w:type="spellEnd"/>
      <w:r w:rsidRPr="00800CB5">
        <w:rPr>
          <w:rFonts w:ascii="Times New Roman" w:eastAsia="MS Mincho" w:hAnsi="Times New Roman" w:cs="Times New Roman"/>
          <w:i/>
          <w:sz w:val="24"/>
        </w:rPr>
        <w:t xml:space="preserve"> c. Royaume-Uni</w:t>
      </w:r>
      <w:r w:rsidRPr="00800CB5">
        <w:rPr>
          <w:rFonts w:ascii="Times New Roman" w:eastAsia="MS Mincho" w:hAnsi="Times New Roman" w:cs="Times New Roman"/>
          <w:sz w:val="24"/>
        </w:rPr>
        <w:t>, 27 septembre 1990, série A n</w:t>
      </w:r>
      <w:r w:rsidRPr="00800CB5">
        <w:rPr>
          <w:rFonts w:ascii="Times New Roman" w:eastAsia="MS Mincho" w:hAnsi="Times New Roman" w:cs="Times New Roman"/>
          <w:sz w:val="24"/>
          <w:vertAlign w:val="superscript"/>
        </w:rPr>
        <w:t>o</w:t>
      </w:r>
      <w:r w:rsidRPr="00800CB5">
        <w:rPr>
          <w:rFonts w:ascii="Times New Roman" w:eastAsia="MS Mincho" w:hAnsi="Times New Roman" w:cs="Times New Roman"/>
          <w:sz w:val="24"/>
        </w:rPr>
        <w:t xml:space="preserve"> 184 ; </w:t>
      </w:r>
      <w:r w:rsidRPr="00800CB5">
        <w:rPr>
          <w:rFonts w:ascii="Times New Roman" w:eastAsia="MS Mincho" w:hAnsi="Times New Roman" w:cs="Times New Roman"/>
          <w:i/>
          <w:sz w:val="24"/>
        </w:rPr>
        <w:t>B. c. France</w:t>
      </w:r>
      <w:r w:rsidRPr="00800CB5">
        <w:rPr>
          <w:rFonts w:ascii="Times New Roman" w:eastAsia="MS Mincho" w:hAnsi="Times New Roman" w:cs="Times New Roman"/>
          <w:sz w:val="24"/>
        </w:rPr>
        <w:t xml:space="preserve">, précité ; </w:t>
      </w:r>
      <w:r w:rsidRPr="00800CB5">
        <w:rPr>
          <w:rFonts w:ascii="Times New Roman" w:eastAsia="MS Mincho" w:hAnsi="Times New Roman" w:cs="Times New Roman"/>
          <w:i/>
          <w:sz w:val="24"/>
        </w:rPr>
        <w:t>Christine Goodwin</w:t>
      </w:r>
      <w:r w:rsidRPr="00800CB5">
        <w:rPr>
          <w:rFonts w:ascii="Times New Roman" w:eastAsia="MS Mincho" w:hAnsi="Times New Roman" w:cs="Times New Roman"/>
          <w:sz w:val="24"/>
        </w:rPr>
        <w:t xml:space="preserve">, précité ; </w:t>
      </w:r>
      <w:r w:rsidRPr="00800CB5">
        <w:rPr>
          <w:rFonts w:ascii="Times New Roman" w:eastAsia="MS Mincho" w:hAnsi="Times New Roman" w:cs="Times New Roman"/>
          <w:i/>
          <w:sz w:val="24"/>
        </w:rPr>
        <w:t>I. c. Royaume-Uni</w:t>
      </w:r>
      <w:r w:rsidRPr="00800CB5">
        <w:rPr>
          <w:rFonts w:ascii="Times New Roman" w:eastAsia="MS Mincho" w:hAnsi="Times New Roman" w:cs="Times New Roman"/>
          <w:sz w:val="24"/>
        </w:rPr>
        <w:t xml:space="preserve"> [GC], n</w:t>
      </w:r>
      <w:r w:rsidRPr="00800CB5">
        <w:rPr>
          <w:rFonts w:ascii="Times New Roman" w:eastAsia="MS Mincho" w:hAnsi="Times New Roman" w:cs="Times New Roman"/>
          <w:sz w:val="24"/>
          <w:vertAlign w:val="superscript"/>
        </w:rPr>
        <w:t>o</w:t>
      </w:r>
      <w:r w:rsidRPr="00800CB5">
        <w:rPr>
          <w:rFonts w:ascii="Times New Roman" w:eastAsia="MS Mincho" w:hAnsi="Times New Roman" w:cs="Times New Roman"/>
          <w:sz w:val="24"/>
        </w:rPr>
        <w:t xml:space="preserve"> 25680/94, 11 juillet 2002 ; </w:t>
      </w:r>
      <w:r w:rsidRPr="00800CB5">
        <w:rPr>
          <w:rFonts w:ascii="Times New Roman" w:eastAsia="MS Mincho" w:hAnsi="Times New Roman" w:cs="Times New Roman"/>
          <w:i/>
          <w:sz w:val="24"/>
          <w:szCs w:val="24"/>
        </w:rPr>
        <w:t>Grant c. Royaume-Uni</w:t>
      </w:r>
      <w:r w:rsidRPr="00800CB5">
        <w:rPr>
          <w:rFonts w:ascii="Times New Roman" w:eastAsia="MS Mincho" w:hAnsi="Times New Roman" w:cs="Times New Roman"/>
          <w:sz w:val="24"/>
          <w:szCs w:val="24"/>
        </w:rPr>
        <w:t>, n</w:t>
      </w:r>
      <w:r w:rsidRPr="00800CB5">
        <w:rPr>
          <w:rFonts w:ascii="Times New Roman" w:eastAsia="MS Mincho" w:hAnsi="Times New Roman" w:cs="Times New Roman"/>
          <w:sz w:val="24"/>
          <w:szCs w:val="24"/>
          <w:vertAlign w:val="superscript"/>
        </w:rPr>
        <w:t>o </w:t>
      </w:r>
      <w:r w:rsidRPr="00800CB5">
        <w:rPr>
          <w:rFonts w:ascii="Times New Roman" w:eastAsia="MS Mincho" w:hAnsi="Times New Roman" w:cs="Times New Roman"/>
          <w:sz w:val="24"/>
          <w:szCs w:val="24"/>
        </w:rPr>
        <w:t>32570/03, CEDH 2006</w:t>
      </w:r>
      <w:r w:rsidRPr="00800CB5">
        <w:rPr>
          <w:rFonts w:ascii="Times New Roman" w:eastAsia="MS Mincho" w:hAnsi="Times New Roman" w:cs="Times New Roman"/>
          <w:sz w:val="24"/>
          <w:szCs w:val="24"/>
        </w:rPr>
        <w:noBreakHyphen/>
        <w:t xml:space="preserve">VII ; </w:t>
      </w:r>
      <w:proofErr w:type="spellStart"/>
      <w:r w:rsidRPr="00800CB5">
        <w:rPr>
          <w:rFonts w:ascii="Times New Roman" w:eastAsia="MS Mincho" w:hAnsi="Times New Roman" w:cs="Times New Roman"/>
          <w:i/>
          <w:sz w:val="24"/>
        </w:rPr>
        <w:t>Hämäläinen</w:t>
      </w:r>
      <w:proofErr w:type="spellEnd"/>
      <w:r w:rsidRPr="00800CB5">
        <w:rPr>
          <w:rFonts w:ascii="Times New Roman" w:eastAsia="MS Mincho" w:hAnsi="Times New Roman" w:cs="Times New Roman"/>
          <w:i/>
          <w:sz w:val="24"/>
        </w:rPr>
        <w:t xml:space="preserve"> c. Finlande </w:t>
      </w:r>
      <w:r w:rsidRPr="00800CB5">
        <w:rPr>
          <w:rFonts w:ascii="Times New Roman" w:eastAsia="MS Mincho" w:hAnsi="Times New Roman" w:cs="Times New Roman"/>
          <w:sz w:val="24"/>
        </w:rPr>
        <w:t>[GC], n</w:t>
      </w:r>
      <w:r w:rsidRPr="00800CB5">
        <w:rPr>
          <w:rFonts w:ascii="Times New Roman" w:eastAsia="MS Mincho" w:hAnsi="Times New Roman" w:cs="Times New Roman"/>
          <w:sz w:val="24"/>
          <w:vertAlign w:val="superscript"/>
        </w:rPr>
        <w:t>o</w:t>
      </w:r>
      <w:r w:rsidRPr="00800CB5">
        <w:rPr>
          <w:rFonts w:ascii="Times New Roman" w:eastAsia="MS Mincho" w:hAnsi="Times New Roman" w:cs="Times New Roman"/>
          <w:sz w:val="24"/>
        </w:rPr>
        <w:t xml:space="preserve"> 37359/09, CEDH 2014) et sur les conditions de l’accès à une telle opération (</w:t>
      </w:r>
      <w:r w:rsidRPr="00800CB5">
        <w:rPr>
          <w:rFonts w:ascii="Times New Roman" w:eastAsia="MS Mincho" w:hAnsi="Times New Roman" w:cs="Times New Roman"/>
          <w:i/>
          <w:sz w:val="24"/>
        </w:rPr>
        <w:t>Van </w:t>
      </w:r>
      <w:proofErr w:type="spellStart"/>
      <w:r w:rsidRPr="00800CB5">
        <w:rPr>
          <w:rFonts w:ascii="Times New Roman" w:eastAsia="MS Mincho" w:hAnsi="Times New Roman" w:cs="Times New Roman"/>
          <w:i/>
          <w:sz w:val="24"/>
        </w:rPr>
        <w:t>Kück</w:t>
      </w:r>
      <w:proofErr w:type="spellEnd"/>
      <w:r w:rsidRPr="00800CB5">
        <w:rPr>
          <w:rFonts w:ascii="Times New Roman" w:eastAsia="MS Mincho" w:hAnsi="Times New Roman" w:cs="Times New Roman"/>
          <w:sz w:val="24"/>
        </w:rPr>
        <w:t xml:space="preserve">, précitée ; </w:t>
      </w:r>
      <w:proofErr w:type="spellStart"/>
      <w:r w:rsidRPr="00800CB5">
        <w:rPr>
          <w:rFonts w:ascii="Times New Roman" w:eastAsia="MS Mincho" w:hAnsi="Times New Roman" w:cs="Times New Roman"/>
          <w:i/>
          <w:sz w:val="24"/>
        </w:rPr>
        <w:t>Schlumpf</w:t>
      </w:r>
      <w:proofErr w:type="spellEnd"/>
      <w:r w:rsidRPr="00800CB5">
        <w:rPr>
          <w:rFonts w:ascii="Times New Roman" w:eastAsia="MS Mincho" w:hAnsi="Times New Roman" w:cs="Times New Roman"/>
          <w:sz w:val="24"/>
        </w:rPr>
        <w:t xml:space="preserve">, précitée ; </w:t>
      </w:r>
      <w:r w:rsidRPr="00800CB5">
        <w:rPr>
          <w:rFonts w:ascii="Times New Roman" w:eastAsia="MS Mincho" w:hAnsi="Times New Roman" w:cs="Times New Roman"/>
          <w:i/>
          <w:sz w:val="24"/>
          <w:szCs w:val="24"/>
        </w:rPr>
        <w:t>L. c. Lituanie</w:t>
      </w:r>
      <w:r w:rsidRPr="00800CB5">
        <w:rPr>
          <w:rFonts w:ascii="Times New Roman" w:eastAsia="MS Mincho" w:hAnsi="Times New Roman" w:cs="Times New Roman"/>
          <w:sz w:val="24"/>
          <w:szCs w:val="24"/>
        </w:rPr>
        <w:t>, n</w:t>
      </w:r>
      <w:r w:rsidRPr="00800CB5">
        <w:rPr>
          <w:rFonts w:ascii="Times New Roman" w:eastAsia="MS Mincho" w:hAnsi="Times New Roman" w:cs="Times New Roman"/>
          <w:sz w:val="24"/>
          <w:szCs w:val="24"/>
          <w:vertAlign w:val="superscript"/>
        </w:rPr>
        <w:t>o</w:t>
      </w:r>
      <w:r w:rsidRPr="00800CB5">
        <w:rPr>
          <w:rFonts w:ascii="Times New Roman" w:eastAsia="MS Mincho" w:hAnsi="Times New Roman" w:cs="Times New Roman"/>
          <w:sz w:val="24"/>
          <w:szCs w:val="24"/>
        </w:rPr>
        <w:t xml:space="preserve"> 27527/03, </w:t>
      </w:r>
      <w:r w:rsidRPr="00800CB5">
        <w:rPr>
          <w:rFonts w:ascii="Times New Roman" w:eastAsia="MS Mincho" w:hAnsi="Times New Roman" w:cs="Times New Roman"/>
          <w:sz w:val="24"/>
        </w:rPr>
        <w:t>CEDH 2007</w:t>
      </w:r>
      <w:r w:rsidRPr="00800CB5">
        <w:rPr>
          <w:rFonts w:ascii="Times New Roman" w:eastAsia="MS Mincho" w:hAnsi="Times New Roman" w:cs="Times New Roman"/>
          <w:sz w:val="24"/>
        </w:rPr>
        <w:noBreakHyphen/>
        <w:t xml:space="preserve">IV ; </w:t>
      </w:r>
      <w:r w:rsidRPr="00800CB5">
        <w:rPr>
          <w:rFonts w:ascii="Times New Roman" w:eastAsia="MS Mincho" w:hAnsi="Times New Roman" w:cs="Times New Roman"/>
          <w:i/>
          <w:sz w:val="24"/>
        </w:rPr>
        <w:t>Y.Y. c. Turquie</w:t>
      </w:r>
      <w:r w:rsidRPr="00800CB5">
        <w:rPr>
          <w:rFonts w:ascii="Times New Roman" w:eastAsia="MS Mincho" w:hAnsi="Times New Roman" w:cs="Times New Roman"/>
          <w:sz w:val="24"/>
        </w:rPr>
        <w:t>, précité). On ne saurait toutefois en déduire que la question de la reconnaissance légale de l’identité sexuelle des personnes transgenres qui n’ont pas subi un traitement de réassignation sexuelle agréé par les autorités ou qui ne souhaitent pas subir un tel traitement échappe au champ d’application de l’article 8 de la Convention.</w:t>
      </w:r>
    </w:p>
    <w:p w14:paraId="09F5BA82"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95</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Élément de l’identité personnelle, l’identité sexuelle relève pleinement du droit au respect de la vie privée que consacre l’article 8 de la Convention. Cela vaut pour tous les individus.</w:t>
      </w:r>
    </w:p>
    <w:p w14:paraId="3300B22B"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96</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L’article 8 s’applique donc aux présentes affaires sous son volet « vie privée », ce que, du reste, le Gouvernement ne conteste pas.</w:t>
      </w:r>
    </w:p>
    <w:p w14:paraId="3CBFE427" w14:textId="77777777" w:rsidR="00DD3495" w:rsidRPr="00800CB5" w:rsidRDefault="00DD3495" w:rsidP="00DD3495">
      <w:pPr>
        <w:keepNext/>
        <w:keepLines/>
        <w:tabs>
          <w:tab w:val="left" w:pos="975"/>
        </w:tabs>
        <w:spacing w:before="240" w:after="120" w:line="240" w:lineRule="auto"/>
        <w:ind w:left="975" w:hanging="340"/>
        <w:jc w:val="both"/>
        <w:outlineLvl w:val="3"/>
        <w:rPr>
          <w:rFonts w:ascii="Times New Roman" w:eastAsia="MS Gothic" w:hAnsi="Times New Roman" w:cs="Times New Roman"/>
          <w:b/>
          <w:bCs/>
          <w:iCs/>
          <w:sz w:val="20"/>
        </w:rPr>
      </w:pPr>
      <w:r w:rsidRPr="00800CB5">
        <w:rPr>
          <w:rFonts w:ascii="Times New Roman" w:eastAsia="MS Gothic" w:hAnsi="Times New Roman" w:cs="Times New Roman"/>
          <w:b/>
          <w:bCs/>
          <w:iCs/>
          <w:sz w:val="20"/>
        </w:rPr>
        <w:t>b)  Sur la question de savoir si les affaires concernent une ingérence ou une obligation positive</w:t>
      </w:r>
    </w:p>
    <w:p w14:paraId="28A07F6A"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97</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Se référant aux arrêts </w:t>
      </w:r>
      <w:r w:rsidRPr="00800CB5">
        <w:rPr>
          <w:rFonts w:ascii="Times New Roman" w:eastAsia="MS Mincho" w:hAnsi="Times New Roman" w:cs="Times New Roman"/>
          <w:i/>
          <w:sz w:val="24"/>
        </w:rPr>
        <w:t>I. c. Royaume-Uni</w:t>
      </w:r>
      <w:r w:rsidRPr="00800CB5">
        <w:rPr>
          <w:rFonts w:ascii="Times New Roman" w:eastAsia="MS Mincho" w:hAnsi="Times New Roman" w:cs="Times New Roman"/>
          <w:sz w:val="24"/>
        </w:rPr>
        <w:t xml:space="preserve">, </w:t>
      </w:r>
      <w:r w:rsidRPr="00800CB5">
        <w:rPr>
          <w:rFonts w:ascii="Times New Roman" w:eastAsia="MS Mincho" w:hAnsi="Times New Roman" w:cs="Times New Roman"/>
          <w:i/>
          <w:sz w:val="24"/>
        </w:rPr>
        <w:t xml:space="preserve">Christine Goodwin </w:t>
      </w:r>
      <w:r w:rsidRPr="00800CB5">
        <w:rPr>
          <w:rFonts w:ascii="Times New Roman" w:eastAsia="MS Mincho" w:hAnsi="Times New Roman" w:cs="Times New Roman"/>
          <w:sz w:val="24"/>
        </w:rPr>
        <w:t xml:space="preserve">et </w:t>
      </w:r>
      <w:r w:rsidRPr="00800CB5">
        <w:rPr>
          <w:rFonts w:ascii="Times New Roman" w:eastAsia="MS Mincho" w:hAnsi="Times New Roman" w:cs="Times New Roman"/>
          <w:i/>
          <w:sz w:val="24"/>
        </w:rPr>
        <w:t>Van </w:t>
      </w:r>
      <w:proofErr w:type="spellStart"/>
      <w:r w:rsidRPr="00800CB5">
        <w:rPr>
          <w:rFonts w:ascii="Times New Roman" w:eastAsia="MS Mincho" w:hAnsi="Times New Roman" w:cs="Times New Roman"/>
          <w:i/>
          <w:sz w:val="24"/>
        </w:rPr>
        <w:t>Kück</w:t>
      </w:r>
      <w:proofErr w:type="spellEnd"/>
      <w:r w:rsidRPr="00800CB5">
        <w:rPr>
          <w:rFonts w:ascii="Times New Roman" w:eastAsia="MS Mincho" w:hAnsi="Times New Roman" w:cs="Times New Roman"/>
          <w:i/>
          <w:sz w:val="24"/>
        </w:rPr>
        <w:t xml:space="preserve"> </w:t>
      </w:r>
      <w:r w:rsidRPr="00800CB5">
        <w:rPr>
          <w:rFonts w:ascii="Times New Roman" w:eastAsia="MS Mincho" w:hAnsi="Times New Roman" w:cs="Times New Roman"/>
          <w:sz w:val="24"/>
        </w:rPr>
        <w:t>(précités), le Gouvernement rappelle que l’article 8 met à la charge des États membres l’obligation de reconnaître juridiquement la conversion sexuelle des personnes transsexuelles, ces États ne disposant d’une marge d’appréciation que pour déterminer les conditions que doivent remplir celles qui revendiquent la reconnaissance juridique de leur nouvelle identité sexuelle pour établir que leur conversion sexuelle a bien été opérée. Il en déduit que le grief doit être examiné sous l’angle des obligations positives.</w:t>
      </w:r>
    </w:p>
    <w:p w14:paraId="3044D7C8"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99</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La Cour marque son accord avec le Gouvernement : </w:t>
      </w:r>
      <w:proofErr w:type="gramStart"/>
      <w:r w:rsidRPr="00800CB5">
        <w:rPr>
          <w:rFonts w:ascii="Times New Roman" w:eastAsia="MS Mincho" w:hAnsi="Times New Roman" w:cs="Times New Roman"/>
          <w:sz w:val="24"/>
        </w:rPr>
        <w:t>comme par exemple</w:t>
      </w:r>
      <w:proofErr w:type="gramEnd"/>
      <w:r w:rsidRPr="00800CB5">
        <w:rPr>
          <w:rFonts w:ascii="Times New Roman" w:eastAsia="MS Mincho" w:hAnsi="Times New Roman" w:cs="Times New Roman"/>
          <w:sz w:val="24"/>
        </w:rPr>
        <w:t xml:space="preserve"> dans l’affaire </w:t>
      </w:r>
      <w:r w:rsidRPr="00800CB5">
        <w:rPr>
          <w:rFonts w:ascii="Times New Roman" w:eastAsia="MS Mincho" w:hAnsi="Times New Roman" w:cs="Times New Roman"/>
          <w:i/>
          <w:sz w:val="24"/>
        </w:rPr>
        <w:t>Sheffield et Horsham c. Royaume-Uni</w:t>
      </w:r>
      <w:r w:rsidRPr="00800CB5">
        <w:rPr>
          <w:rFonts w:ascii="Times New Roman" w:eastAsia="MS Mincho" w:hAnsi="Times New Roman" w:cs="Times New Roman"/>
          <w:sz w:val="24"/>
        </w:rPr>
        <w:t xml:space="preserve"> (30 juillet 1998, § 51, </w:t>
      </w:r>
      <w:r w:rsidRPr="00800CB5">
        <w:rPr>
          <w:rFonts w:ascii="Times New Roman" w:eastAsia="MS Mincho" w:hAnsi="Times New Roman" w:cs="Times New Roman"/>
          <w:i/>
          <w:sz w:val="24"/>
        </w:rPr>
        <w:t>Recueil des arrêts et décisions</w:t>
      </w:r>
      <w:r w:rsidRPr="00800CB5">
        <w:rPr>
          <w:rFonts w:ascii="Times New Roman" w:eastAsia="MS Mincho" w:hAnsi="Times New Roman" w:cs="Times New Roman"/>
          <w:sz w:val="24"/>
        </w:rPr>
        <w:t xml:space="preserve"> 1998</w:t>
      </w:r>
      <w:r w:rsidRPr="00800CB5">
        <w:rPr>
          <w:rFonts w:ascii="Times New Roman" w:eastAsia="MS Mincho" w:hAnsi="Times New Roman" w:cs="Times New Roman"/>
          <w:sz w:val="24"/>
        </w:rPr>
        <w:noBreakHyphen/>
        <w:t xml:space="preserve">V), les griefs des requérants doivent être examinés sous l’angle de la question de savoir si l’État défendeur est ou non resté en défaut de s’acquitter de l’obligation positive de garantir aux intéressées le droit au respect de leur vie privée. Elle renvoie par ailleurs à l’affaire </w:t>
      </w:r>
      <w:proofErr w:type="spellStart"/>
      <w:r w:rsidRPr="00800CB5">
        <w:rPr>
          <w:rFonts w:ascii="Times New Roman" w:eastAsia="MS Mincho" w:hAnsi="Times New Roman" w:cs="Times New Roman"/>
          <w:i/>
          <w:sz w:val="24"/>
        </w:rPr>
        <w:t>Hämäläinen</w:t>
      </w:r>
      <w:proofErr w:type="spellEnd"/>
      <w:r w:rsidRPr="00800CB5">
        <w:rPr>
          <w:rFonts w:ascii="Times New Roman" w:eastAsia="MS Mincho" w:hAnsi="Times New Roman" w:cs="Times New Roman"/>
          <w:i/>
          <w:sz w:val="24"/>
        </w:rPr>
        <w:t xml:space="preserve"> </w:t>
      </w:r>
      <w:r w:rsidRPr="00800CB5">
        <w:rPr>
          <w:rFonts w:ascii="Times New Roman" w:eastAsia="MS Mincho" w:hAnsi="Times New Roman" w:cs="Times New Roman"/>
          <w:sz w:val="24"/>
        </w:rPr>
        <w:t xml:space="preserve">précitée qui, comme les présentes affaires, concernait la compatibilité des conditions de la reconnaissance légale de l’identité d’une personne transsexuelle avec les exigences de l’article 8 de la Convention, dans laquelle elle a jugé plus approprié d’analyser le grief de la requérante du point de vue des obligations positives. En d’autres termes, la question à trancher est celle de savoir si le respect de la vie privée des requérants implique pour l’État l’obligation positive de mettre en place une procédure propre à leur permettre de faire reconnaître juridiquement leur identité sexuelle sans avoir à remplir les conditions qu’ils dénoncent (voir, </w:t>
      </w:r>
      <w:r w:rsidRPr="00800CB5">
        <w:rPr>
          <w:rFonts w:ascii="Times New Roman" w:eastAsia="MS Mincho" w:hAnsi="Times New Roman" w:cs="Times New Roman"/>
          <w:i/>
          <w:sz w:val="24"/>
        </w:rPr>
        <w:t>mutatis mutandis</w:t>
      </w:r>
      <w:r w:rsidRPr="00800CB5">
        <w:rPr>
          <w:rFonts w:ascii="Times New Roman" w:eastAsia="MS Mincho" w:hAnsi="Times New Roman" w:cs="Times New Roman"/>
          <w:sz w:val="24"/>
        </w:rPr>
        <w:t xml:space="preserve">, </w:t>
      </w:r>
      <w:proofErr w:type="spellStart"/>
      <w:r w:rsidRPr="00800CB5">
        <w:rPr>
          <w:rFonts w:ascii="Times New Roman" w:eastAsia="MS Mincho" w:hAnsi="Times New Roman" w:cs="Times New Roman"/>
          <w:i/>
          <w:sz w:val="24"/>
        </w:rPr>
        <w:t>Hämäläinen</w:t>
      </w:r>
      <w:proofErr w:type="spellEnd"/>
      <w:r w:rsidRPr="00800CB5">
        <w:rPr>
          <w:rFonts w:ascii="Times New Roman" w:eastAsia="MS Mincho" w:hAnsi="Times New Roman" w:cs="Times New Roman"/>
          <w:sz w:val="24"/>
        </w:rPr>
        <w:t>, § 64).</w:t>
      </w:r>
    </w:p>
    <w:p w14:paraId="5C16D810"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100</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constate que la France répond à première vue à cette obligation positive puisque le droit français permet aux personnes transsexuelles d’obtenir la reconnaissance légale de leur identité par le biais de la rectification de leur état civil. Cependant, à l’époque des faits de la cause des requérants, le droit français subordonnait cette reconnaissance légale à l’établissement de la réalité du syndrome transsexuel et du caractère irréversible de la transformation de l’apparence ; les demandes formulées à cette fin par les deuxième et troisième requérants ont ainsi été rejetées au motif que cette condition n’était pas remplie. La question qui se pose dans le cas des deuxième et troisième requérants est donc celle de savoir si, en leur opposant cette condition, la France a manqué à son obligation positive de garantir le droit de ces derniers au respect de leur vie privée. Dans le cas du premier requérant, se pose celle de savoir si la France s’est rendue responsable d’un pareil manquement en subordonnant la reconnaissance légale de son identité à sa soumission à une expertise médicale.</w:t>
      </w:r>
    </w:p>
    <w:p w14:paraId="736BD7CB" w14:textId="77777777" w:rsidR="00DD349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101</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La Cour va en conséquence vérifier si, compte tenu de la marge d’appréciation dont elle disposait, la France, en opposant de telles conditions à la reconnaissance légale de l’identité sexuelle des requérants, a ménagé un juste équilibre entre l’intérêt général et les intérêts de ces derniers, les objectifs visés au paragraphe 2 de l’article 8 jouant un certain rôle (voir, par exemple, </w:t>
      </w:r>
      <w:proofErr w:type="spellStart"/>
      <w:r w:rsidRPr="00800CB5">
        <w:rPr>
          <w:rFonts w:ascii="Times New Roman" w:eastAsia="MS Mincho" w:hAnsi="Times New Roman" w:cs="Times New Roman"/>
          <w:i/>
          <w:sz w:val="24"/>
        </w:rPr>
        <w:t>Hämäläinen</w:t>
      </w:r>
      <w:proofErr w:type="spellEnd"/>
      <w:r w:rsidRPr="00800CB5">
        <w:rPr>
          <w:rFonts w:ascii="Times New Roman" w:eastAsia="MS Mincho" w:hAnsi="Times New Roman" w:cs="Times New Roman"/>
          <w:sz w:val="24"/>
        </w:rPr>
        <w:t>, précité, § 65).</w:t>
      </w:r>
    </w:p>
    <w:p w14:paraId="0B427BDD" w14:textId="77777777" w:rsidR="00DD3495" w:rsidRPr="00800CB5" w:rsidRDefault="00DD3495" w:rsidP="00DD3495">
      <w:pPr>
        <w:keepNext/>
        <w:keepLines/>
        <w:tabs>
          <w:tab w:val="left" w:pos="731"/>
        </w:tabs>
        <w:spacing w:before="240" w:after="120" w:line="240" w:lineRule="auto"/>
        <w:jc w:val="both"/>
        <w:outlineLvl w:val="2"/>
        <w:rPr>
          <w:rFonts w:ascii="Times New Roman" w:eastAsia="MS Gothic" w:hAnsi="Times New Roman" w:cs="Times New Roman"/>
          <w:bCs/>
          <w:i/>
          <w:sz w:val="24"/>
        </w:rPr>
      </w:pPr>
      <w:r w:rsidRPr="00800CB5">
        <w:rPr>
          <w:rFonts w:ascii="Times New Roman" w:eastAsia="MS Gothic" w:hAnsi="Times New Roman" w:cs="Times New Roman"/>
          <w:bCs/>
          <w:i/>
          <w:sz w:val="24"/>
        </w:rPr>
        <w:t>2.  Sur la condition d’irréversibilité de la transformation de l’apparence</w:t>
      </w:r>
    </w:p>
    <w:bookmarkEnd w:id="0"/>
    <w:p w14:paraId="10967D2B"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116</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première question qui se pose en l’espèce est celle de savoir si, en imposant aux personnes transgenres qui souhaitent obtenir la reconnaissance de leur identité sexuelle la démonstration du « caractère irréversible de la transformation de [l</w:t>
      </w:r>
      <w:proofErr w:type="gramStart"/>
      <w:r w:rsidRPr="00800CB5">
        <w:rPr>
          <w:rFonts w:ascii="Times New Roman" w:eastAsia="MS Mincho" w:hAnsi="Times New Roman" w:cs="Times New Roman"/>
          <w:sz w:val="24"/>
        </w:rPr>
        <w:t>’]apparence</w:t>
      </w:r>
      <w:proofErr w:type="gramEnd"/>
      <w:r w:rsidRPr="00800CB5">
        <w:rPr>
          <w:rFonts w:ascii="Times New Roman" w:eastAsia="MS Mincho" w:hAnsi="Times New Roman" w:cs="Times New Roman"/>
          <w:sz w:val="24"/>
        </w:rPr>
        <w:t> », le droit positif français, tel qu’établi à l’époque des présentes affaires, assujettissait cette reconnaissance à la réalisation d’une opération ou d’un traitement stérilisants.</w:t>
      </w:r>
    </w:p>
    <w:p w14:paraId="784C90B7"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117</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La Cour relève tout d’abord l’ambigüité de ces termes : la référence à </w:t>
      </w:r>
      <w:proofErr w:type="gramStart"/>
      <w:r w:rsidRPr="00800CB5">
        <w:rPr>
          <w:rFonts w:ascii="Times New Roman" w:eastAsia="MS Mincho" w:hAnsi="Times New Roman" w:cs="Times New Roman"/>
          <w:sz w:val="24"/>
        </w:rPr>
        <w:t>l’ «</w:t>
      </w:r>
      <w:proofErr w:type="gramEnd"/>
      <w:r w:rsidRPr="00800CB5">
        <w:rPr>
          <w:rFonts w:ascii="Times New Roman" w:eastAsia="MS Mincho" w:hAnsi="Times New Roman" w:cs="Times New Roman"/>
          <w:sz w:val="24"/>
        </w:rPr>
        <w:t> apparence » fait penser à une transformation superficielle, alors que la notion d’irréversibilité renvoie à l’idée d’une transformation radicale qui, dans le contexte du changement de l’identité légale des personnes transgenres, renvoie elle-même à celle de la stérilité. Elle juge cette ambigüité problématique dès lors que l’intégrité physique des personnes est en jeu.</w:t>
      </w:r>
    </w:p>
    <w:p w14:paraId="2C58C23B"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120</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partira donc du principe qu’à l’époque des circonstances de la cause des requérants, le droit positif français assujettissait la reconnaissance de l’identité sexuelle des personnes transgenres à la réalisation d’une opération stérilisante ou d’un traitement qui, par sa nature et son intensité, entraînait une très forte probabilité de stérilité.</w:t>
      </w:r>
    </w:p>
    <w:p w14:paraId="64200DC0" w14:textId="77777777" w:rsidR="00DD3495" w:rsidRPr="00800CB5" w:rsidRDefault="00DD3495" w:rsidP="00DD3495">
      <w:pPr>
        <w:keepNext/>
        <w:keepLines/>
        <w:tabs>
          <w:tab w:val="left" w:pos="1191"/>
        </w:tabs>
        <w:spacing w:before="240" w:after="120" w:line="240" w:lineRule="auto"/>
        <w:ind w:left="1190" w:hanging="357"/>
        <w:jc w:val="both"/>
        <w:outlineLvl w:val="4"/>
        <w:rPr>
          <w:rFonts w:ascii="Times New Roman" w:eastAsia="MS Gothic" w:hAnsi="Times New Roman" w:cs="Times New Roman"/>
          <w:bCs/>
          <w:i/>
          <w:sz w:val="20"/>
        </w:rPr>
      </w:pPr>
      <w:r w:rsidRPr="00800CB5">
        <w:rPr>
          <w:rFonts w:ascii="Times New Roman" w:eastAsia="MS Gothic" w:hAnsi="Times New Roman" w:cs="Times New Roman"/>
          <w:bCs/>
          <w:i/>
          <w:sz w:val="20"/>
        </w:rPr>
        <w:t>ii.  Sur la marge d’appréciation</w:t>
      </w:r>
    </w:p>
    <w:p w14:paraId="3CBC610E"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121</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Dans la mise en œuvre des obligations positives qui leur incombent au titre de l’article 8, les États jouissent d’une certaine marge d’appréciation. Pour déterminer l’ampleur de cette marge d’appréciation, il y a lieu de prendre en compte un certain nombre de facteurs. Ainsi, cette marge d’appréciation est plus large lorsqu’il n’existe pas de consensus entre les États membres du Conseil de l’Europe sur l’importance relative de l’intérêt en jeu ou sur les meilleurs moyens de le protéger, en particulier lorsque l’affaire soulève des questions morales ou éthiques délicates. Elle est d’une façon générale également ample lorsque l’État doit ménager un équilibre entre des intérêts privés et publics concurrents ou entre différents droits protégés par la Convention qui se trouvent en conflit. Toutefois, lorsqu’un aspect particulièrement important de l’existence ou de l’identité d’un individu se trouve en jeu, la marge laissée à l’État est restreinte (voir, notamment, </w:t>
      </w:r>
      <w:proofErr w:type="spellStart"/>
      <w:r w:rsidRPr="00800CB5">
        <w:rPr>
          <w:rFonts w:ascii="Times New Roman" w:eastAsia="MS Mincho" w:hAnsi="Times New Roman" w:cs="Times New Roman"/>
          <w:i/>
          <w:sz w:val="24"/>
        </w:rPr>
        <w:t>Hämäläinen</w:t>
      </w:r>
      <w:proofErr w:type="spellEnd"/>
      <w:r w:rsidRPr="00800CB5">
        <w:rPr>
          <w:rFonts w:ascii="Times New Roman" w:eastAsia="MS Mincho" w:hAnsi="Times New Roman" w:cs="Times New Roman"/>
          <w:sz w:val="24"/>
        </w:rPr>
        <w:t>, précité, § 67, ainsi que les références qui y sont indiquées).</w:t>
      </w:r>
    </w:p>
    <w:p w14:paraId="21E43BEA"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122</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En l’espèce, la Cour note que les États parties sont partagés sur la condition de stérilité (paragraphe 71 ci-dessus). Il n’y a donc pas consensus en la matière. Elle relève ensuite que des intérêts publics sont en jeu, le Gouvernement invoquant à cet égard la nécessité de préserver le principe de l’indisponibilité de l’état des personnes et de garantir la fiabilité et la cohérence de l’état civil, et que les présentes affaires soulèvent des questions morales et éthiques délicates.</w:t>
      </w:r>
    </w:p>
    <w:p w14:paraId="4BDB5414"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123</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Elle constate toutefois également qu’un aspect essentiel de l’identité intime des personnes, si ce n’est de leur existence, se trouve au cœur-même des présentes requêtes. D’abord parce que l’intégrité physique des individus est directement en cause dès lors qu’il est question de stérilisation. Ensuite, parce que les requêtes ont trait </w:t>
      </w:r>
      <w:r w:rsidRPr="00800CB5">
        <w:rPr>
          <w:rFonts w:ascii="Times New Roman" w:eastAsia="Times New Roman" w:hAnsi="Times New Roman" w:cs="Times New Roman"/>
          <w:sz w:val="24"/>
          <w:szCs w:val="24"/>
          <w:lang w:eastAsia="fr-FR"/>
        </w:rPr>
        <w:t xml:space="preserve">à l’identité sexuelle des individus, la Cour ayant déjà eu l’occasion de souligner que </w:t>
      </w:r>
      <w:proofErr w:type="gramStart"/>
      <w:r w:rsidRPr="00800CB5">
        <w:rPr>
          <w:rFonts w:ascii="Times New Roman" w:eastAsia="Times New Roman" w:hAnsi="Times New Roman" w:cs="Times New Roman"/>
          <w:sz w:val="24"/>
          <w:szCs w:val="24"/>
          <w:lang w:eastAsia="fr-FR"/>
        </w:rPr>
        <w:t>«  la</w:t>
      </w:r>
      <w:proofErr w:type="gramEnd"/>
      <w:r w:rsidRPr="00800CB5">
        <w:rPr>
          <w:rFonts w:ascii="Times New Roman" w:eastAsia="Times New Roman" w:hAnsi="Times New Roman" w:cs="Times New Roman"/>
          <w:sz w:val="24"/>
          <w:szCs w:val="24"/>
          <w:lang w:eastAsia="fr-FR"/>
        </w:rPr>
        <w:t xml:space="preserve"> notion d’autonomie personnelle reflète un principe important qui sous-tend l’interprétation des garanties de l’article 8 » (voir, précités, </w:t>
      </w:r>
      <w:proofErr w:type="spellStart"/>
      <w:r w:rsidRPr="00800CB5">
        <w:rPr>
          <w:rFonts w:ascii="Times New Roman" w:eastAsia="MS Mincho" w:hAnsi="Times New Roman" w:cs="Times New Roman"/>
          <w:i/>
          <w:sz w:val="24"/>
        </w:rPr>
        <w:t>Pretty</w:t>
      </w:r>
      <w:proofErr w:type="spellEnd"/>
      <w:r w:rsidRPr="00800CB5">
        <w:rPr>
          <w:rFonts w:ascii="Times New Roman" w:eastAsia="MS Mincho" w:hAnsi="Times New Roman" w:cs="Times New Roman"/>
          <w:sz w:val="24"/>
        </w:rPr>
        <w:t xml:space="preserve">, § 61, </w:t>
      </w:r>
      <w:r w:rsidRPr="00800CB5">
        <w:rPr>
          <w:rFonts w:ascii="Times New Roman" w:eastAsia="MS Mincho" w:hAnsi="Times New Roman" w:cs="Times New Roman"/>
          <w:i/>
          <w:sz w:val="24"/>
        </w:rPr>
        <w:t>Van </w:t>
      </w:r>
      <w:proofErr w:type="spellStart"/>
      <w:r w:rsidRPr="00800CB5">
        <w:rPr>
          <w:rFonts w:ascii="Times New Roman" w:eastAsia="MS Mincho" w:hAnsi="Times New Roman" w:cs="Times New Roman"/>
          <w:i/>
          <w:sz w:val="24"/>
        </w:rPr>
        <w:t>Kück</w:t>
      </w:r>
      <w:proofErr w:type="spellEnd"/>
      <w:r w:rsidRPr="00800CB5">
        <w:rPr>
          <w:rFonts w:ascii="Times New Roman" w:eastAsia="MS Mincho" w:hAnsi="Times New Roman" w:cs="Times New Roman"/>
          <w:sz w:val="24"/>
        </w:rPr>
        <w:t xml:space="preserve">, § 69, et </w:t>
      </w:r>
      <w:proofErr w:type="spellStart"/>
      <w:r w:rsidRPr="00800CB5">
        <w:rPr>
          <w:rFonts w:ascii="Times New Roman" w:eastAsia="MS Mincho" w:hAnsi="Times New Roman" w:cs="Times New Roman"/>
          <w:i/>
          <w:sz w:val="24"/>
        </w:rPr>
        <w:t>Schlumpf</w:t>
      </w:r>
      <w:proofErr w:type="spellEnd"/>
      <w:r w:rsidRPr="00800CB5">
        <w:rPr>
          <w:rFonts w:ascii="Times New Roman" w:eastAsia="MS Mincho" w:hAnsi="Times New Roman" w:cs="Times New Roman"/>
          <w:sz w:val="24"/>
        </w:rPr>
        <w:t xml:space="preserve">, § 100) et que le droit à l’identité sexuelle et à l’épanouissement personnel est un aspect fondamental du droit au respect de la vie privée (voir </w:t>
      </w:r>
      <w:r w:rsidRPr="00800CB5">
        <w:rPr>
          <w:rFonts w:ascii="Times New Roman" w:eastAsia="MS Mincho" w:hAnsi="Times New Roman" w:cs="Times New Roman"/>
          <w:i/>
          <w:sz w:val="24"/>
        </w:rPr>
        <w:t xml:space="preserve">Van </w:t>
      </w:r>
      <w:proofErr w:type="spellStart"/>
      <w:r w:rsidRPr="00800CB5">
        <w:rPr>
          <w:rFonts w:ascii="Times New Roman" w:eastAsia="MS Mincho" w:hAnsi="Times New Roman" w:cs="Times New Roman"/>
          <w:i/>
          <w:sz w:val="24"/>
        </w:rPr>
        <w:t>Kück</w:t>
      </w:r>
      <w:proofErr w:type="spellEnd"/>
      <w:r w:rsidRPr="00800CB5">
        <w:rPr>
          <w:rFonts w:ascii="Times New Roman" w:eastAsia="MS Mincho" w:hAnsi="Times New Roman" w:cs="Times New Roman"/>
          <w:sz w:val="24"/>
        </w:rPr>
        <w:t>, précité, § 75). Ce constat la conduit à retenir que l’État défendeur ne disposait en l’espèce que d’une marge d’appréciation restreinte.</w:t>
      </w:r>
    </w:p>
    <w:p w14:paraId="38355576"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124</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Surabondamment, la Cour relève que cette condition a disparu du droit positif de onze États parties entre 2009 et 2016, dont la France, et que des réformes dans ce sens sont débattues dans d’autres États parties (paragraphe 71 ci-dessus). Cela montre qu’une tendance vers son abandon, basée sur une évolution de la compréhension du transsexualisme, se dessine en Europe ces dernières années.</w:t>
      </w:r>
    </w:p>
    <w:p w14:paraId="711C73AB"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125</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Elle note aussi que de nombreux acteurs institutionnels européens et internationaux de la promotion et de la défense des droits humains ont très nettement pris position en faveur de l’abandon du critère de stérilité, qu’ils jugent attentatoire aux droits fondamentaux : le Commissaire aux droits de l’homme du Conseil de l’Europe, l’Assemblée parlementaire du Conseil de l’Europe, le rapporteur spécial des Nations unies sur la torture et autres peines ou traitements cruels, inhumains ou dégradants, l’organisation mondiale de la santé, le fonds des Nations unies pour l’enfance, la Haut-Commissaire et le Haut-Commissariat aux droits de l’Homme des Nations unies, ONU Femmes, ONU Sida, le programme des Nations unies pour le développement et le fonds des Nations unies pour la population (paragraphes 73-81 ci-dessus). Elle observe que beaucoup de ces déclarations sont intervenues antérieurement ou concomitamment aux arrêts rendus par la Cour de cassation en la cause des deuxième et troisième requérants.</w:t>
      </w:r>
    </w:p>
    <w:p w14:paraId="6B8E6539" w14:textId="77777777" w:rsidR="00DD3495" w:rsidRPr="00800CB5" w:rsidRDefault="00DD3495" w:rsidP="00DD3495">
      <w:pPr>
        <w:keepNext/>
        <w:keepLines/>
        <w:tabs>
          <w:tab w:val="left" w:pos="1191"/>
        </w:tabs>
        <w:spacing w:before="240" w:after="120" w:line="240" w:lineRule="auto"/>
        <w:ind w:left="1190" w:hanging="357"/>
        <w:jc w:val="both"/>
        <w:outlineLvl w:val="4"/>
        <w:rPr>
          <w:rFonts w:ascii="Times New Roman" w:eastAsia="MS Gothic" w:hAnsi="Times New Roman" w:cs="Times New Roman"/>
          <w:bCs/>
          <w:i/>
          <w:sz w:val="20"/>
        </w:rPr>
      </w:pPr>
      <w:r w:rsidRPr="00800CB5">
        <w:rPr>
          <w:rFonts w:ascii="Times New Roman" w:eastAsia="MS Gothic" w:hAnsi="Times New Roman" w:cs="Times New Roman"/>
          <w:bCs/>
          <w:i/>
          <w:sz w:val="20"/>
        </w:rPr>
        <w:t>iii.  Sur le maintien d’un juste équilibre entre l’intérêt général et les intérêts des requérants</w:t>
      </w:r>
    </w:p>
    <w:p w14:paraId="50CE3085"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126</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constate que, pour obtenir la reconnaissance de leur identité, les personnes qui se trouvent dans la situation des requérants n’avaient d’autre choix que de subir préalablement un lourd traitement médical ou une opération chirurgicale qui devait avoir pour conséquence, selon le droit positif français à l’époque des faits des présentes affaires, une transformation irréversible de leur apparence. Comme la Cour l’a indiqué précédemment, cela conduisait, selon un très fort taux de probabilité, à exiger leur stérilité. Toutes les personnes transgenres ne veulent – ou ne peuvent – pourtant pas subir un traitement ou une opération ayant de telles conséquences, ce qu’illustre du reste le cas des deuxième et troisième requérants dans les présentes affaires. La Cour relève à cet égard que, dans son avis du 27 juin 2013 précité, la CNCDH souligne que des personnes qui ne souhaitaient pas avoir recours à ces traitements et à ces opérations en acceptaient néanmoins la contrainte dans l’espoir de voir aboutir la procédure judiciaire relative à la modification de leur état civil (paragraphe 65 ci-dessus).</w:t>
      </w:r>
    </w:p>
    <w:p w14:paraId="11283F0D"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127</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Or de tels traitements et opérations médicaux touchent à l’intégrité physique de la personne, laquelle est protégée par l’article 3 de la Convention (que les deuxième et troisième requérants n’invoquent toutefois pas) ainsi que par l’article 8 de la Convention.</w:t>
      </w:r>
    </w:p>
    <w:p w14:paraId="50079C4E" w14:textId="77777777" w:rsidR="00DD3495" w:rsidRPr="00800CB5" w:rsidRDefault="00DD3495" w:rsidP="00DD3495">
      <w:pPr>
        <w:spacing w:after="0" w:line="240" w:lineRule="auto"/>
        <w:ind w:firstLine="284"/>
        <w:jc w:val="both"/>
        <w:rPr>
          <w:rFonts w:ascii="Times New Roman" w:eastAsia="MS Mincho" w:hAnsi="Times New Roman" w:cs="Times New Roman"/>
          <w:snapToGrid w:val="0"/>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128</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Dans des contextes différents, la Cour a ainsi conclu à la violation de ces dispositions dans le cadre de stérilisations pratiquées sur des adultes sains d’esprit qui n’y avaient pas donné un consentement éclairé. En particulier, elle a déduit du fait que la stérilisation porte sur l’une des fonctions corporelles essentielles des êtres humains, qu’elle a des incidences sur de multiples aspects de l’intégrité de la personne, y compris sur le bien-être physique et mental et la vie émotionnelle, spirituelle et familiale. Elle a précisé que, si elle peut être pratiquée de manière légitime à la demande de la personne concernée, par exemple comme mode de contraception, ou à des fins thérapeutiques lorsque l’existence d’une nécessité médicale est établie de façon convaincante, la situation est différente lorsqu’elle est imposée à un patient adulte et sain d’esprit sans son consentement. Selon la Cour, une telle manière de procéder est incompatible avec le respect de la liberté et de la dignité de l’homme, qui constitue l’un des principes fondamentaux au cœur de la Convention (voir </w:t>
      </w:r>
      <w:r w:rsidRPr="00800CB5">
        <w:rPr>
          <w:rFonts w:ascii="Times New Roman" w:eastAsia="MS Mincho" w:hAnsi="Times New Roman" w:cs="Times New Roman"/>
          <w:i/>
          <w:sz w:val="24"/>
        </w:rPr>
        <w:t>Soares de Melo c. Portugal</w:t>
      </w:r>
      <w:r w:rsidRPr="00800CB5">
        <w:rPr>
          <w:rFonts w:ascii="Times New Roman" w:eastAsia="MS Mincho" w:hAnsi="Times New Roman" w:cs="Times New Roman"/>
          <w:sz w:val="24"/>
        </w:rPr>
        <w:t>, n</w:t>
      </w:r>
      <w:r w:rsidRPr="00800CB5">
        <w:rPr>
          <w:rFonts w:ascii="Times New Roman" w:eastAsia="MS Mincho" w:hAnsi="Times New Roman" w:cs="Times New Roman"/>
          <w:sz w:val="24"/>
          <w:vertAlign w:val="superscript"/>
        </w:rPr>
        <w:t>o</w:t>
      </w:r>
      <w:r w:rsidRPr="00800CB5">
        <w:rPr>
          <w:rFonts w:ascii="Times New Roman" w:eastAsia="MS Mincho" w:hAnsi="Times New Roman" w:cs="Times New Roman"/>
          <w:sz w:val="24"/>
        </w:rPr>
        <w:t xml:space="preserve"> 72850/14</w:t>
      </w:r>
      <w:r w:rsidRPr="00800CB5">
        <w:rPr>
          <w:rFonts w:ascii="Times New Roman" w:eastAsia="MS Mincho" w:hAnsi="Times New Roman" w:cs="Times New Roman"/>
          <w:snapToGrid w:val="0"/>
          <w:sz w:val="24"/>
        </w:rPr>
        <w:t>, §§ 109-111, 16 </w:t>
      </w:r>
      <w:r w:rsidRPr="00800CB5">
        <w:rPr>
          <w:rFonts w:ascii="Times New Roman" w:eastAsia="MS Mincho" w:hAnsi="Times New Roman" w:cs="Times New Roman"/>
          <w:sz w:val="24"/>
        </w:rPr>
        <w:t>février</w:t>
      </w:r>
      <w:r w:rsidRPr="00800CB5">
        <w:rPr>
          <w:rFonts w:ascii="Times New Roman" w:eastAsia="MS Mincho" w:hAnsi="Times New Roman" w:cs="Times New Roman"/>
          <w:snapToGrid w:val="0"/>
          <w:sz w:val="24"/>
        </w:rPr>
        <w:t xml:space="preserve"> 2016 ; voir aussi </w:t>
      </w:r>
      <w:r w:rsidRPr="00800CB5">
        <w:rPr>
          <w:rFonts w:ascii="Times New Roman" w:eastAsia="MS Mincho" w:hAnsi="Times New Roman" w:cs="Times New Roman"/>
          <w:i/>
          <w:sz w:val="24"/>
        </w:rPr>
        <w:t>G.B. et R.B. c. République de Moldova</w:t>
      </w:r>
      <w:r w:rsidRPr="00800CB5">
        <w:rPr>
          <w:rFonts w:ascii="Times New Roman" w:eastAsia="MS Mincho" w:hAnsi="Times New Roman" w:cs="Times New Roman"/>
          <w:sz w:val="24"/>
        </w:rPr>
        <w:t>, n</w:t>
      </w:r>
      <w:r w:rsidRPr="00800CB5">
        <w:rPr>
          <w:rFonts w:ascii="Times New Roman" w:eastAsia="MS Mincho" w:hAnsi="Times New Roman" w:cs="Times New Roman"/>
          <w:sz w:val="24"/>
          <w:vertAlign w:val="superscript"/>
        </w:rPr>
        <w:t>o </w:t>
      </w:r>
      <w:r w:rsidRPr="00800CB5">
        <w:rPr>
          <w:rFonts w:ascii="Times New Roman" w:eastAsia="MS Mincho" w:hAnsi="Times New Roman" w:cs="Times New Roman"/>
          <w:sz w:val="24"/>
        </w:rPr>
        <w:t>16761/09</w:t>
      </w:r>
      <w:r w:rsidRPr="00800CB5">
        <w:rPr>
          <w:rFonts w:ascii="Times New Roman" w:eastAsia="MS Mincho" w:hAnsi="Times New Roman" w:cs="Times New Roman"/>
          <w:snapToGrid w:val="0"/>
          <w:sz w:val="24"/>
        </w:rPr>
        <w:t xml:space="preserve">, §§ 29-30 et 32, 18 </w:t>
      </w:r>
      <w:r w:rsidRPr="00800CB5">
        <w:rPr>
          <w:rFonts w:ascii="Times New Roman" w:eastAsia="MS Mincho" w:hAnsi="Times New Roman" w:cs="Times New Roman"/>
          <w:sz w:val="24"/>
        </w:rPr>
        <w:t>décembre</w:t>
      </w:r>
      <w:r w:rsidRPr="00800CB5">
        <w:rPr>
          <w:rFonts w:ascii="Times New Roman" w:eastAsia="MS Mincho" w:hAnsi="Times New Roman" w:cs="Times New Roman"/>
          <w:snapToGrid w:val="0"/>
          <w:sz w:val="24"/>
        </w:rPr>
        <w:t xml:space="preserve"> 2012).</w:t>
      </w:r>
    </w:p>
    <w:p w14:paraId="4F043A38"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131</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Conditionner la reconnaissance de l’identité sexuelle des personnes transgenres à la réalisation d’une opération ou d’un traitement stérilisants – ou qui produit très probablement un effet de cette nature – qu’elles ne souhaitent pas subir, revient ainsi à conditionner le plein exercice de leur droit au respect de leur vie privée que consacre l’article 8 de la Convention à la renonciation au plein exercice de leur droit au respect de leur intégrité physique que garantit non seulement cette disposition mais aussi l’article 3 de la Convention.</w:t>
      </w:r>
    </w:p>
    <w:p w14:paraId="703A6709"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132</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admet pleinement que la préservation du principe de l’indisponibilité de l’état des personnes, la garantie de la fiabilité et de la cohérence de l’état civil et, plus largement, l’exigence de sécurité juridique, relèvent de l’intérêt général. Elle constate cependant qu’au nom de l’intérêt général ainsi compris, le droit positif français, tel qu’établi à l’époque des faits des présentes affaires, mettait les personnes transgenres ne souhaitant pas suivre un traitement de réassignation sexuel intégral devant un dilemme insoluble : soit subir malgré elles une opération ou un traitement stérilisants ou produisant très probablement un effet de cette nature, et renoncer au plein exercice de leur droit au respect de leur intégrité physique, qui relève notamment du droit au respect de la vie privée que garantit l’article 8 de la Convention ; soit renoncer à la reconnaissance de leur identité sexuelle et donc au plein exercice de ce même droit. Elle voit là une rupture du juste équilibre que les États parties sont tenus de maintenir entre l’intérêt général et les intérêts des personnes concernées.</w:t>
      </w:r>
    </w:p>
    <w:p w14:paraId="0B8FA54E"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133</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xml:space="preserve">.  Elle rappelle à cet égard qu’elle a retenu dans l’arrêt </w:t>
      </w:r>
      <w:r w:rsidRPr="00800CB5">
        <w:rPr>
          <w:rFonts w:ascii="Times New Roman" w:eastAsia="MS Mincho" w:hAnsi="Times New Roman" w:cs="Times New Roman"/>
          <w:i/>
          <w:sz w:val="24"/>
        </w:rPr>
        <w:t>Y.Y. c. Turquie</w:t>
      </w:r>
      <w:r w:rsidRPr="00800CB5">
        <w:rPr>
          <w:rFonts w:ascii="Times New Roman" w:eastAsia="MS Mincho" w:hAnsi="Times New Roman" w:cs="Times New Roman"/>
          <w:sz w:val="24"/>
        </w:rPr>
        <w:t xml:space="preserve"> (précité, § 119) que le respect dû à l’intégrité physique du requérant (une personne transsexuelle dont la demande tendant à avoir accès à une opération de réassignation avait été rejetée parce qu’elle n’avait pas démontré être dans l’incapacité définitive de procréer) s’opposait à ce qu’il ait à se soumettre à un traitement ayant pour effet une infertilité définitive. Elle rappelle également que, dans l’affaire </w:t>
      </w:r>
      <w:r w:rsidRPr="00800CB5">
        <w:rPr>
          <w:rFonts w:ascii="Times New Roman" w:eastAsia="MS Mincho" w:hAnsi="Times New Roman" w:cs="Times New Roman"/>
          <w:i/>
          <w:sz w:val="24"/>
        </w:rPr>
        <w:t>Soares de Melo</w:t>
      </w:r>
      <w:r w:rsidRPr="00800CB5">
        <w:rPr>
          <w:rFonts w:ascii="Times New Roman" w:eastAsia="MS Mincho" w:hAnsi="Times New Roman" w:cs="Times New Roman"/>
          <w:sz w:val="24"/>
        </w:rPr>
        <w:t xml:space="preserve"> (précitée, § 111), elle a jugé contraire à l’article 8 le fait de conditionner l’exercice des droits parentaux – protégé par cette même disposition – à la soumission à une opération de stérilisation.</w:t>
      </w:r>
    </w:p>
    <w:p w14:paraId="20C55D81"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134</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observe par ailleurs que, le 12 octobre 2016, le législateur français a expressément exclu la stérilisation des conditions exigées des personnes transgenres pour l’obtention de la reconnaissance de leur identité. Le nouvel article 61-6 du code civil précise en effet que « le fait de ne pas avoir subi des traitements médicaux, une opération chirurgicale ou une stérilisation ne peut motiver le refus de faire droit à la demande [de modification de la mention relative à son sexe dans les actes de l’état civil] » (paragraphe 68 ci-dessus).</w:t>
      </w:r>
    </w:p>
    <w:p w14:paraId="4EA0F23B"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135</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Partant, le rejet de la demande des deuxième et troisième requérants tendant à la modification de leur état civil au motif qu’ils n’avaient pas établi le caractère irréversible de la transformation de leur apparence, c’est-à-dire démontré avoir subi une opération stérilisante ou un traitement médical entrainant une très forte probabilité de stérilité, s’analyse en un manquement par l’État défendeur à son obligation positive de garantir le droit de ces derniers au respect de leur vie privée. Il y a donc, de ce chef, violation de l’article 8 de la Convention à leur égard.</w:t>
      </w:r>
    </w:p>
    <w:p w14:paraId="0F79AF82" w14:textId="77777777" w:rsidR="00DD3495" w:rsidRDefault="00DD3495" w:rsidP="00DD3495">
      <w:pPr>
        <w:keepNext/>
        <w:keepLines/>
        <w:tabs>
          <w:tab w:val="left" w:pos="731"/>
        </w:tabs>
        <w:spacing w:before="240" w:after="120" w:line="240" w:lineRule="auto"/>
        <w:ind w:left="732" w:hanging="301"/>
        <w:jc w:val="both"/>
        <w:outlineLvl w:val="2"/>
        <w:rPr>
          <w:rFonts w:ascii="Times New Roman" w:eastAsia="MS Gothic" w:hAnsi="Times New Roman" w:cs="Times New Roman"/>
          <w:bCs/>
          <w:i/>
          <w:sz w:val="24"/>
        </w:rPr>
      </w:pPr>
      <w:r w:rsidRPr="00800CB5">
        <w:rPr>
          <w:rFonts w:ascii="Times New Roman" w:eastAsia="MS Gothic" w:hAnsi="Times New Roman" w:cs="Times New Roman"/>
          <w:bCs/>
          <w:i/>
          <w:sz w:val="24"/>
        </w:rPr>
        <w:t>3.  Sur la condition de réalité du syndrome transsexuel (requête n</w:t>
      </w:r>
      <w:r w:rsidRPr="00800CB5">
        <w:rPr>
          <w:rFonts w:ascii="Times New Roman" w:eastAsia="MS Gothic" w:hAnsi="Times New Roman" w:cs="Times New Roman"/>
          <w:bCs/>
          <w:i/>
          <w:sz w:val="24"/>
          <w:vertAlign w:val="superscript"/>
        </w:rPr>
        <w:t>o</w:t>
      </w:r>
      <w:r w:rsidRPr="00800CB5">
        <w:rPr>
          <w:rFonts w:ascii="Times New Roman" w:eastAsia="MS Gothic" w:hAnsi="Times New Roman" w:cs="Times New Roman"/>
          <w:bCs/>
          <w:i/>
          <w:sz w:val="24"/>
        </w:rPr>
        <w:t> 52471/13)</w:t>
      </w:r>
    </w:p>
    <w:p w14:paraId="4A4EBB2F"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140</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en déduit que, même si un aspect important de l’identité des personnes transgenres est en cause dès lors qu’il s’agit de la reconnaissance de leur identité sexuelle (paragraphe 123 ci-dessus), les États parties conservent une large marge d’appréciation quant à la décision d’y poser une telle condition.</w:t>
      </w:r>
    </w:p>
    <w:p w14:paraId="496FD350"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141</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note par ailleurs que le Gouvernement renvoie à la déclaration de la haute autorité de la santé selon laquelle le diagnostic de dysphorie du genre est exigé en tant que diagnostic différentiel, afin de garantir aux médecins, en amont du traitement endocrinologique ou chirurgical, que la souffrance du patient ne provient pas d’autres causes. Pour autant que le Gouvernement entend ainsi soutenir que l’exigence d’un psychodiagnostic préalable permet d’éviter que des individus qui ne sont pas véritablement transgenres s’engagent dans un traitement médical de conversion irréversible, il ne convainc pas entièrement s’agissant de la situation de personnes qui – tels les deuxième et troisième requérants – refusent de subir un traitement ayant des effets stérilisants irréversibles. La Cour admet néanmoins que cette exigence vise à préserver les intérêts des personnes concernées en ce qu’en tout cas, elle tend à faire en sorte qu’elles ne s’engagent pas erronément dans un processus de changement légal de leur identité.</w:t>
      </w:r>
    </w:p>
    <w:p w14:paraId="620A8AB6"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142</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En cela, du reste, les intérêts du deuxième requérant se confondent partiellement avec l’intérêt général attaché à la préservation du principe de l’indisponibilité de l’état des personnes, de la fiabilité et de la cohérence de l’état civil, et de la sécurité juridique, dès lors que cette exigence est également favorable à la stabilité des modifications du sexe à l’état civil.</w:t>
      </w:r>
    </w:p>
    <w:p w14:paraId="4978627A"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143</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estime en conséquence que, compte tenu tout particulièrement de la large marge d’appréciation dont elle disposait, la France, en retenant, pour rejeter la demande du deuxième requérant tendant à la modification de la mention du sexe sur son acte de naissance, qu’il n’avait pas démontré la réalité du syndrome transsexuel dont il est atteint, a maintenu un juste équilibre entre les intérêts concurrents en présence.</w:t>
      </w:r>
    </w:p>
    <w:p w14:paraId="2A66AD8D"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144</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Autrement dit, le rejet de la demande du deuxième requérant pour ce motif ne caractérise pas un manquement par la France à son obligation positive de garantir le droit de ce dernier au respect de sa vie privée. Il n’y a donc pas eu violation de l’article 8 de la Convention de ce chef à son égard.</w:t>
      </w:r>
    </w:p>
    <w:p w14:paraId="401CBBC9" w14:textId="77777777" w:rsidR="00DD3495" w:rsidRPr="00800CB5" w:rsidRDefault="00DD3495" w:rsidP="00DD3495">
      <w:pPr>
        <w:keepNext/>
        <w:keepLines/>
        <w:tabs>
          <w:tab w:val="left" w:pos="731"/>
        </w:tabs>
        <w:spacing w:before="240" w:after="120" w:line="240" w:lineRule="auto"/>
        <w:ind w:left="732" w:hanging="301"/>
        <w:jc w:val="both"/>
        <w:outlineLvl w:val="2"/>
        <w:rPr>
          <w:rFonts w:ascii="Times New Roman" w:eastAsia="MS Gothic" w:hAnsi="Times New Roman" w:cs="Times New Roman"/>
          <w:bCs/>
          <w:i/>
          <w:sz w:val="24"/>
        </w:rPr>
      </w:pPr>
      <w:r w:rsidRPr="00800CB5">
        <w:rPr>
          <w:rFonts w:ascii="Times New Roman" w:eastAsia="MS Gothic" w:hAnsi="Times New Roman" w:cs="Times New Roman"/>
          <w:bCs/>
          <w:i/>
          <w:sz w:val="24"/>
        </w:rPr>
        <w:t>4.  Sur l’obligation de subir un examen médical (requête n</w:t>
      </w:r>
      <w:r w:rsidRPr="00800CB5">
        <w:rPr>
          <w:rFonts w:ascii="Times New Roman" w:eastAsia="MS Gothic" w:hAnsi="Times New Roman" w:cs="Times New Roman"/>
          <w:bCs/>
          <w:i/>
          <w:sz w:val="24"/>
          <w:vertAlign w:val="superscript"/>
        </w:rPr>
        <w:t>o</w:t>
      </w:r>
      <w:r w:rsidRPr="00800CB5">
        <w:rPr>
          <w:rFonts w:ascii="Times New Roman" w:eastAsia="MS Gothic" w:hAnsi="Times New Roman" w:cs="Times New Roman"/>
          <w:bCs/>
          <w:i/>
          <w:sz w:val="24"/>
        </w:rPr>
        <w:t> 79885/12)</w:t>
      </w:r>
    </w:p>
    <w:p w14:paraId="295CE563"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152</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w:t>
      </w:r>
      <w:r>
        <w:rPr>
          <w:rFonts w:ascii="Times New Roman" w:eastAsia="MS Mincho" w:hAnsi="Times New Roman" w:cs="Times New Roman"/>
          <w:sz w:val="24"/>
        </w:rPr>
        <w:t xml:space="preserve">(…) </w:t>
      </w:r>
      <w:r w:rsidRPr="00800CB5">
        <w:rPr>
          <w:rFonts w:ascii="Times New Roman" w:eastAsia="MS Mincho" w:hAnsi="Times New Roman" w:cs="Times New Roman"/>
          <w:sz w:val="24"/>
        </w:rPr>
        <w:t>Ces éléments conduisent la Cour à retenir que, même si l’expertise médicale ordonnée impliquait un examen de l’intimité génital du premier requérant, l’ampleur de l’ingérence dans l’exercice de son droit au respect de sa vie privée qui en aurait résulté mérite d’être significativement relativisée.</w:t>
      </w:r>
    </w:p>
    <w:p w14:paraId="6BD8D8DC" w14:textId="77777777" w:rsidR="00DD3495" w:rsidRPr="00800CB5" w:rsidRDefault="00DD3495" w:rsidP="00DD3495">
      <w:pPr>
        <w:spacing w:after="0" w:line="240" w:lineRule="auto"/>
        <w:ind w:firstLine="284"/>
        <w:jc w:val="both"/>
        <w:rPr>
          <w:rFonts w:ascii="Times New Roman" w:eastAsia="MS Mincho" w:hAnsi="Times New Roman" w:cs="Times New Roman"/>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153</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La Cour estime en conséquence qu’en retenant pour rejeter la demande du premier requérant tendant à la modification de la mention du sexe sur son acte de naissance, le fait qu’il opposait un refus de principe à l’expertise médicale qu’il avait ordonnée, le juge interne, qui, aux termes de l’article 11 du code de procédure civile, pouvait tirer toute conséquence de ce refus, a maintenu un juste équilibre entre les intérêts concurrents en présence.</w:t>
      </w:r>
    </w:p>
    <w:p w14:paraId="79045E37" w14:textId="77777777" w:rsidR="00DD3495" w:rsidRPr="00800CB5" w:rsidRDefault="00DD3495" w:rsidP="00DD3495">
      <w:pPr>
        <w:spacing w:after="0" w:line="240" w:lineRule="auto"/>
        <w:ind w:firstLine="284"/>
        <w:jc w:val="both"/>
        <w:rPr>
          <w:rFonts w:ascii="Times New Roman" w:eastAsia="MS Mincho" w:hAnsi="Times New Roman" w:cs="Times New Roman"/>
          <w:strike/>
          <w:sz w:val="24"/>
        </w:rPr>
      </w:pPr>
      <w:r w:rsidRPr="00800CB5">
        <w:rPr>
          <w:rFonts w:ascii="Times New Roman" w:eastAsia="MS Mincho" w:hAnsi="Times New Roman" w:cs="Times New Roman"/>
          <w:sz w:val="24"/>
        </w:rPr>
        <w:fldChar w:fldCharType="begin"/>
      </w:r>
      <w:r w:rsidRPr="00800CB5">
        <w:rPr>
          <w:rFonts w:ascii="Times New Roman" w:eastAsia="MS Mincho" w:hAnsi="Times New Roman" w:cs="Times New Roman"/>
          <w:sz w:val="24"/>
        </w:rPr>
        <w:instrText xml:space="preserve"> SEQ level0 \*arabic </w:instrText>
      </w:r>
      <w:r w:rsidRPr="00800CB5">
        <w:rPr>
          <w:rFonts w:ascii="Times New Roman" w:eastAsia="MS Mincho" w:hAnsi="Times New Roman" w:cs="Times New Roman"/>
          <w:sz w:val="24"/>
        </w:rPr>
        <w:fldChar w:fldCharType="separate"/>
      </w:r>
      <w:r w:rsidRPr="00800CB5">
        <w:rPr>
          <w:rFonts w:ascii="Times New Roman" w:eastAsia="MS Mincho" w:hAnsi="Times New Roman" w:cs="Times New Roman"/>
          <w:noProof/>
          <w:sz w:val="24"/>
        </w:rPr>
        <w:t>154</w:t>
      </w:r>
      <w:r w:rsidRPr="00800CB5">
        <w:rPr>
          <w:rFonts w:ascii="Times New Roman" w:eastAsia="MS Mincho" w:hAnsi="Times New Roman" w:cs="Times New Roman"/>
          <w:sz w:val="24"/>
        </w:rPr>
        <w:fldChar w:fldCharType="end"/>
      </w:r>
      <w:r w:rsidRPr="00800CB5">
        <w:rPr>
          <w:rFonts w:ascii="Times New Roman" w:eastAsia="MS Mincho" w:hAnsi="Times New Roman" w:cs="Times New Roman"/>
          <w:sz w:val="24"/>
        </w:rPr>
        <w:t>.  Autrement dit, cette circonstance ne caractérise pas un manquement par la France à son obligation positive de garantir le droit du premier requérant au respect de sa vie privée. Il n’y a pas eu violation de l’article 8 de la Convention de ce chef à son égard.</w:t>
      </w:r>
    </w:p>
    <w:p w14:paraId="379F4C35" w14:textId="77777777" w:rsidR="00DD3495" w:rsidRPr="00800CB5" w:rsidRDefault="00DD3495" w:rsidP="00DD3495">
      <w:pPr>
        <w:rPr>
          <w:rFonts w:ascii="Arial" w:hAnsi="Arial" w:cs="Arial"/>
          <w:sz w:val="24"/>
        </w:rPr>
      </w:pPr>
    </w:p>
    <w:p w14:paraId="65C70E18" w14:textId="6081B537" w:rsidR="00DD3495" w:rsidRDefault="00DD3495">
      <w:pPr>
        <w:rPr>
          <w:rFonts w:ascii="Times New Roman" w:hAnsi="Times New Roman" w:cs="Times New Roman"/>
          <w:sz w:val="24"/>
          <w:szCs w:val="24"/>
        </w:rPr>
      </w:pPr>
      <w:r>
        <w:rPr>
          <w:rFonts w:ascii="Times New Roman" w:hAnsi="Times New Roman" w:cs="Times New Roman"/>
          <w:sz w:val="24"/>
          <w:szCs w:val="24"/>
        </w:rPr>
        <w:br w:type="page"/>
      </w:r>
    </w:p>
    <w:p w14:paraId="5107D659" w14:textId="77777777" w:rsidR="005A133A" w:rsidRPr="00DD3495" w:rsidRDefault="005A133A" w:rsidP="005A133A">
      <w:pPr>
        <w:jc w:val="center"/>
        <w:rPr>
          <w:rFonts w:ascii="Times New Roman" w:hAnsi="Times New Roman" w:cs="Times New Roman"/>
          <w:b/>
          <w:bCs/>
          <w:sz w:val="24"/>
          <w:szCs w:val="24"/>
        </w:rPr>
      </w:pPr>
      <w:r w:rsidRPr="00DD3495">
        <w:rPr>
          <w:rFonts w:ascii="Times New Roman" w:hAnsi="Times New Roman" w:cs="Times New Roman"/>
          <w:b/>
          <w:bCs/>
          <w:sz w:val="24"/>
          <w:szCs w:val="24"/>
        </w:rPr>
        <w:t>Droit européen des droits de l’homme</w:t>
      </w:r>
    </w:p>
    <w:p w14:paraId="060D505C" w14:textId="22DDDE8F" w:rsidR="004E113F" w:rsidRDefault="004E113F" w:rsidP="005A133A">
      <w:pPr>
        <w:jc w:val="center"/>
        <w:rPr>
          <w:rFonts w:ascii="Times New Roman" w:hAnsi="Times New Roman" w:cs="Times New Roman"/>
          <w:b/>
          <w:bCs/>
          <w:sz w:val="24"/>
          <w:szCs w:val="24"/>
        </w:rPr>
      </w:pPr>
      <w:r w:rsidRPr="00881717">
        <w:rPr>
          <w:rFonts w:ascii="Times New Roman" w:hAnsi="Times New Roman" w:cs="Times New Roman"/>
          <w:b/>
          <w:bCs/>
          <w:sz w:val="24"/>
          <w:szCs w:val="24"/>
        </w:rPr>
        <w:t>Séance n°7 : Le droit à l’autonomie personnelle</w:t>
      </w:r>
    </w:p>
    <w:p w14:paraId="6E82EB28" w14:textId="77777777" w:rsidR="004E113F" w:rsidRDefault="004E113F" w:rsidP="004E113F">
      <w:pPr>
        <w:jc w:val="center"/>
        <w:rPr>
          <w:rFonts w:ascii="Times New Roman" w:hAnsi="Times New Roman" w:cs="Times New Roman"/>
          <w:b/>
          <w:bCs/>
          <w:sz w:val="24"/>
          <w:szCs w:val="24"/>
        </w:rPr>
      </w:pPr>
    </w:p>
    <w:p w14:paraId="47D095E4" w14:textId="77777777" w:rsidR="004E113F" w:rsidRPr="00201AC9" w:rsidRDefault="004E113F" w:rsidP="004E113F">
      <w:pPr>
        <w:jc w:val="both"/>
        <w:rPr>
          <w:rFonts w:ascii="Times New Roman" w:hAnsi="Times New Roman" w:cs="Times New Roman"/>
          <w:sz w:val="24"/>
          <w:szCs w:val="24"/>
        </w:rPr>
      </w:pPr>
      <w:r w:rsidRPr="00201AC9">
        <w:rPr>
          <w:rFonts w:ascii="Times New Roman" w:hAnsi="Times New Roman" w:cs="Times New Roman"/>
          <w:sz w:val="24"/>
          <w:szCs w:val="24"/>
        </w:rPr>
        <w:t>Commentez l’arrêt M.K. c/ Grèce du 1</w:t>
      </w:r>
      <w:r w:rsidRPr="00201AC9">
        <w:rPr>
          <w:rFonts w:ascii="Times New Roman" w:hAnsi="Times New Roman" w:cs="Times New Roman"/>
          <w:sz w:val="24"/>
          <w:szCs w:val="24"/>
          <w:vertAlign w:val="superscript"/>
        </w:rPr>
        <w:t>er</w:t>
      </w:r>
      <w:r w:rsidRPr="00201AC9">
        <w:rPr>
          <w:rFonts w:ascii="Times New Roman" w:hAnsi="Times New Roman" w:cs="Times New Roman"/>
          <w:sz w:val="24"/>
          <w:szCs w:val="24"/>
        </w:rPr>
        <w:t xml:space="preserve"> février 2018 en l’inscrivant dans la jurisprudence de la Cour sur l’autonomie personnelle.</w:t>
      </w:r>
    </w:p>
    <w:p w14:paraId="281315B6" w14:textId="77777777" w:rsidR="004E113F" w:rsidRPr="000061CD" w:rsidRDefault="004E113F" w:rsidP="004E113F"/>
    <w:p w14:paraId="7F349E56" w14:textId="77777777" w:rsidR="004E113F" w:rsidRPr="00201AC9" w:rsidRDefault="004E113F" w:rsidP="004E113F">
      <w:pPr>
        <w:pStyle w:val="ECHRHeading3"/>
        <w:numPr>
          <w:ilvl w:val="0"/>
          <w:numId w:val="0"/>
        </w:numPr>
        <w:ind w:left="720" w:hanging="432"/>
        <w:rPr>
          <w:rFonts w:ascii="Times New Roman" w:hAnsi="Times New Roman" w:cs="Times New Roman"/>
          <w:b/>
          <w:bCs/>
          <w:color w:val="auto"/>
        </w:rPr>
      </w:pPr>
      <w:r w:rsidRPr="00201AC9">
        <w:rPr>
          <w:b/>
          <w:bCs/>
          <w:color w:val="auto"/>
        </w:rPr>
        <w:t xml:space="preserve">CEDH, </w:t>
      </w:r>
      <w:r w:rsidRPr="00201AC9">
        <w:rPr>
          <w:rFonts w:ascii="Times New Roman" w:hAnsi="Times New Roman" w:cs="Times New Roman"/>
          <w:b/>
          <w:bCs/>
          <w:color w:val="auto"/>
        </w:rPr>
        <w:t>M.K. c/ Grèce du 1</w:t>
      </w:r>
      <w:r w:rsidRPr="00201AC9">
        <w:rPr>
          <w:rFonts w:ascii="Times New Roman" w:hAnsi="Times New Roman" w:cs="Times New Roman"/>
          <w:b/>
          <w:bCs/>
          <w:color w:val="auto"/>
          <w:vertAlign w:val="superscript"/>
        </w:rPr>
        <w:t>er</w:t>
      </w:r>
      <w:r w:rsidRPr="00201AC9">
        <w:rPr>
          <w:rFonts w:ascii="Times New Roman" w:hAnsi="Times New Roman" w:cs="Times New Roman"/>
          <w:b/>
          <w:bCs/>
          <w:color w:val="auto"/>
        </w:rPr>
        <w:t xml:space="preserve"> février 2018 (</w:t>
      </w:r>
      <w:r w:rsidRPr="00201AC9">
        <w:rPr>
          <w:rFonts w:ascii="Times New Roman" w:hAnsi="Times New Roman" w:cs="Times New Roman"/>
          <w:b/>
          <w:bCs/>
          <w:i/>
          <w:color w:val="auto"/>
        </w:rPr>
        <w:t>(Requête n</w:t>
      </w:r>
      <w:r w:rsidRPr="00201AC9">
        <w:rPr>
          <w:rFonts w:ascii="Times New Roman" w:hAnsi="Times New Roman" w:cs="Times New Roman"/>
          <w:b/>
          <w:bCs/>
          <w:i/>
          <w:color w:val="auto"/>
          <w:vertAlign w:val="superscript"/>
        </w:rPr>
        <w:t>o</w:t>
      </w:r>
      <w:r w:rsidRPr="00201AC9">
        <w:rPr>
          <w:rFonts w:ascii="Times New Roman" w:hAnsi="Times New Roman" w:cs="Times New Roman"/>
          <w:b/>
          <w:bCs/>
          <w:i/>
          <w:color w:val="auto"/>
        </w:rPr>
        <w:t xml:space="preserve"> 51312/16)</w:t>
      </w:r>
      <w:r w:rsidRPr="00201AC9">
        <w:rPr>
          <w:rFonts w:ascii="Times New Roman" w:hAnsi="Times New Roman" w:cs="Times New Roman"/>
          <w:b/>
          <w:bCs/>
          <w:color w:val="auto"/>
        </w:rPr>
        <w:t xml:space="preserve">) </w:t>
      </w:r>
    </w:p>
    <w:p w14:paraId="20AB446D" w14:textId="77777777" w:rsidR="004E113F" w:rsidRPr="000061CD" w:rsidRDefault="004E113F" w:rsidP="004E113F">
      <w:pPr>
        <w:pStyle w:val="ECHRHeading3"/>
        <w:numPr>
          <w:ilvl w:val="0"/>
          <w:numId w:val="0"/>
        </w:numPr>
        <w:ind w:left="720" w:hanging="432"/>
      </w:pPr>
      <w:r w:rsidRPr="000061CD">
        <w:t>2.  Appréciation de la Cour</w:t>
      </w:r>
    </w:p>
    <w:p w14:paraId="656CD4C0" w14:textId="77777777" w:rsidR="004E113F" w:rsidRPr="000061CD" w:rsidRDefault="004E113F" w:rsidP="004E113F">
      <w:pPr>
        <w:pStyle w:val="ECHRHeading4"/>
      </w:pPr>
      <w:r w:rsidRPr="000061CD">
        <w:t>a)  Principes généraux</w:t>
      </w:r>
    </w:p>
    <w:p w14:paraId="1B2AAAB6"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73</w:t>
      </w:r>
      <w:r w:rsidRPr="000061CD">
        <w:rPr>
          <w:lang w:val="fr-FR"/>
        </w:rPr>
        <w:fldChar w:fldCharType="end"/>
      </w:r>
      <w:r w:rsidRPr="000061CD">
        <w:rPr>
          <w:lang w:val="fr-FR"/>
        </w:rPr>
        <w:t>.  La Cour rappelle sa jurisprudence selon laquelle il existe actuellement un large consensus autour de l’idée que, dans toutes les décisions concernant des enfants, leur intérêt supérieur doit primer. L’intérêt de l’enfant présente un double aspect. D’une part, il prévoit que les liens entre lui et sa famille soient maintenus, que seules des circonstances tout à fait exceptionnelles peuvent en principe conduire à une rupture du lien familial et que tout doit être mis en œuvre pour maintenir les relations personnelles et, le cas échéant, le moment venu, « reconstituer » la famille. D’autre part, il implique que garantir à l’enfant une évolution dans un environnement sain relève de cet intérêt et que l’article 8 de la Convention ne saurait autoriser un parent à prendre des mesures préjudiciables à la santé et au développement de son enfant (</w:t>
      </w:r>
      <w:proofErr w:type="spellStart"/>
      <w:r w:rsidRPr="000061CD">
        <w:rPr>
          <w:i/>
          <w:lang w:val="fr-FR"/>
        </w:rPr>
        <w:t>Neulinger</w:t>
      </w:r>
      <w:proofErr w:type="spellEnd"/>
      <w:r w:rsidRPr="000061CD">
        <w:rPr>
          <w:i/>
          <w:lang w:val="fr-FR"/>
        </w:rPr>
        <w:t xml:space="preserve"> et </w:t>
      </w:r>
      <w:proofErr w:type="spellStart"/>
      <w:r w:rsidRPr="000061CD">
        <w:rPr>
          <w:i/>
          <w:lang w:val="fr-FR"/>
        </w:rPr>
        <w:t>Shuruk</w:t>
      </w:r>
      <w:proofErr w:type="spellEnd"/>
      <w:r w:rsidRPr="000061CD">
        <w:rPr>
          <w:i/>
          <w:lang w:val="fr-FR"/>
        </w:rPr>
        <w:t xml:space="preserve"> c. Suisse</w:t>
      </w:r>
      <w:r w:rsidRPr="000061CD">
        <w:rPr>
          <w:lang w:val="fr-FR"/>
        </w:rPr>
        <w:t xml:space="preserve"> [GC], n</w:t>
      </w:r>
      <w:r w:rsidRPr="000061CD">
        <w:rPr>
          <w:vertAlign w:val="superscript"/>
          <w:lang w:val="fr-FR"/>
        </w:rPr>
        <w:t>o</w:t>
      </w:r>
      <w:r w:rsidRPr="000061CD">
        <w:rPr>
          <w:lang w:val="fr-FR"/>
        </w:rPr>
        <w:t> 41615/07, §§ 135-136, CEDH 2010). La même philosophie se trouve à la base de la Convention de La Haye, qui prévoit en principe le retour immédiat d’un enfant enlevé sauf en cas de risque grave que ce retour ne l’expose à un danger physique ou psychique, ou ne le place dans une situation intolérable de toute autre manière (article 13, alinéa premier, lettre b). En d’autres termes, la notion d’intérêt supérieur de l’enfant est sous-jacente également à la Convention de La Haye (</w:t>
      </w:r>
      <w:r w:rsidRPr="000061CD">
        <w:rPr>
          <w:i/>
          <w:lang w:val="fr-FR"/>
        </w:rPr>
        <w:t>idem</w:t>
      </w:r>
      <w:r w:rsidRPr="000061CD">
        <w:rPr>
          <w:lang w:val="fr-FR"/>
        </w:rPr>
        <w:t>, § 137).</w:t>
      </w:r>
    </w:p>
    <w:p w14:paraId="4EE3BD3E" w14:textId="77777777" w:rsidR="004E113F" w:rsidRPr="000061CD" w:rsidRDefault="004E113F" w:rsidP="004E113F">
      <w:pPr>
        <w:pStyle w:val="ECHRPara"/>
        <w:rPr>
          <w:lang w:val="fr-FR"/>
        </w:rPr>
      </w:pPr>
      <w:r w:rsidRPr="000061CD">
        <w:rPr>
          <w:rFonts w:ascii="Times New Roman" w:hAnsi="Times New Roman" w:cs="Times New Roman"/>
          <w:lang w:val="fr-FR"/>
        </w:rPr>
        <w:fldChar w:fldCharType="begin"/>
      </w:r>
      <w:r w:rsidRPr="000061CD">
        <w:rPr>
          <w:rFonts w:ascii="Times New Roman" w:hAnsi="Times New Roman" w:cs="Times New Roman"/>
          <w:lang w:val="fr-FR"/>
        </w:rPr>
        <w:instrText xml:space="preserve"> SEQ level0 \*arabic </w:instrText>
      </w:r>
      <w:r w:rsidRPr="000061CD">
        <w:rPr>
          <w:rFonts w:ascii="Times New Roman" w:hAnsi="Times New Roman" w:cs="Times New Roman"/>
          <w:lang w:val="fr-FR"/>
        </w:rPr>
        <w:fldChar w:fldCharType="separate"/>
      </w:r>
      <w:r w:rsidRPr="000061CD">
        <w:rPr>
          <w:rFonts w:ascii="Times New Roman" w:hAnsi="Times New Roman" w:cs="Times New Roman"/>
          <w:noProof/>
          <w:lang w:val="fr-FR"/>
        </w:rPr>
        <w:t>74</w:t>
      </w:r>
      <w:r w:rsidRPr="000061CD">
        <w:rPr>
          <w:rFonts w:ascii="Times New Roman" w:hAnsi="Times New Roman" w:cs="Times New Roman"/>
          <w:lang w:val="fr-FR"/>
        </w:rPr>
        <w:fldChar w:fldCharType="end"/>
      </w:r>
      <w:r w:rsidRPr="000061CD">
        <w:rPr>
          <w:rFonts w:ascii="Times New Roman" w:hAnsi="Times New Roman" w:cs="Times New Roman"/>
          <w:lang w:val="fr-FR"/>
        </w:rPr>
        <w:t xml:space="preserve">.  Le droit à l’autonomie personnelle, inhérent à la notion de « vie privée », qui recouvre dans le cas des adultes le droit de choisir comment conduire sa vie, à condition de ne pas porter une atteinte injustifiable aux droits et libertés d’autrui, a une portée différente dans le cas des enfants. Ceux-ci, contrairement aux adultes, ne disposent pas d’une autonomie complète mais ils sont néanmoins des sujets de droits. Les enfants exercent leur autonomie limitée, qui augmente progressivement à mesure qu’ils gagnent en maturité, par le biais de leur droit à être consultés et entendus. Comme le précise l’article 12 de la Convention relative aux droits de l’enfant, un enfant qui est capable de discernement a le droit d’exprimer librement ses opinions et </w:t>
      </w:r>
      <w:r w:rsidRPr="000061CD">
        <w:rPr>
          <w:rFonts w:ascii="Times New Roman" w:eastAsia="Times New Roman" w:hAnsi="Times New Roman" w:cs="Times New Roman"/>
          <w:lang w:val="fr-FR"/>
        </w:rPr>
        <w:t>le droit de voir ces opinions dûment prises en considération, eu égard à son âge et à son degré de maturité</w:t>
      </w:r>
      <w:r w:rsidRPr="000061CD">
        <w:rPr>
          <w:rFonts w:ascii="Times New Roman" w:hAnsi="Times New Roman" w:cs="Times New Roman"/>
          <w:lang w:val="fr-FR"/>
        </w:rPr>
        <w:t xml:space="preserve"> et, en particulier, </w:t>
      </w:r>
      <w:r w:rsidRPr="000061CD">
        <w:rPr>
          <w:rFonts w:ascii="Times New Roman" w:eastAsia="Times New Roman" w:hAnsi="Times New Roman" w:cs="Times New Roman"/>
          <w:lang w:val="fr-FR"/>
        </w:rPr>
        <w:t>il doit se voir offrir la possibilité d’être entendu dans toute procédure judiciaire ou administrative l’intéressant (</w:t>
      </w:r>
      <w:r w:rsidRPr="000061CD">
        <w:rPr>
          <w:rFonts w:ascii="Times New Roman" w:eastAsia="Times New Roman" w:hAnsi="Times New Roman" w:cs="Times New Roman"/>
          <w:i/>
          <w:lang w:val="fr-FR"/>
        </w:rPr>
        <w:t>M. et M. c. Croatie</w:t>
      </w:r>
      <w:r w:rsidRPr="000061CD">
        <w:rPr>
          <w:rFonts w:ascii="Times New Roman" w:eastAsia="Times New Roman" w:hAnsi="Times New Roman" w:cs="Times New Roman"/>
          <w:lang w:val="fr-FR"/>
        </w:rPr>
        <w:t>, n</w:t>
      </w:r>
      <w:r w:rsidRPr="000061CD">
        <w:rPr>
          <w:rFonts w:ascii="Times New Roman" w:eastAsia="Times New Roman" w:hAnsi="Times New Roman" w:cs="Times New Roman"/>
          <w:vertAlign w:val="superscript"/>
          <w:lang w:val="fr-FR"/>
        </w:rPr>
        <w:t>o</w:t>
      </w:r>
      <w:r w:rsidRPr="000061CD">
        <w:rPr>
          <w:rFonts w:ascii="Times New Roman" w:eastAsia="Times New Roman" w:hAnsi="Times New Roman" w:cs="Times New Roman"/>
          <w:lang w:val="fr-FR"/>
        </w:rPr>
        <w:t> 10161/13, § 171, 3 décembre 2015)</w:t>
      </w:r>
      <w:r w:rsidRPr="000061CD">
        <w:rPr>
          <w:rFonts w:ascii="Times New Roman" w:hAnsi="Times New Roman" w:cs="Times New Roman"/>
          <w:lang w:val="fr-FR"/>
        </w:rPr>
        <w:t>.</w:t>
      </w:r>
    </w:p>
    <w:p w14:paraId="11DFC50C"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75</w:t>
      </w:r>
      <w:r w:rsidRPr="000061CD">
        <w:rPr>
          <w:lang w:val="fr-FR"/>
        </w:rPr>
        <w:fldChar w:fldCharType="end"/>
      </w:r>
      <w:r w:rsidRPr="000061CD">
        <w:rPr>
          <w:lang w:val="fr-FR"/>
        </w:rPr>
        <w:t>.  En outre, il découle de l’article 8 de la Convention que le retour de l’enfant ne saurait être ordonné de façon automatique ou mécanique dès lors que la Convention de La Haye s’applique. L’intérêt supérieur de l’enfant, du point de vue de son développement personnel, dépend en effet de plusieurs circonstances individuelles, notamment de son âge et de sa maturité, de la présence ou de l’absence de ses parents, de l’environnement dans lequel il vit et de son histoire personnelle. C’est pourquoi il doit s’apprécier au cas par cas. Cette tâche revient en premier lieu aux autorités nationales, qui ont souvent le bénéfice de contacts directs avec les intéressés (</w:t>
      </w:r>
      <w:r w:rsidRPr="000061CD">
        <w:rPr>
          <w:i/>
          <w:lang w:val="fr-FR"/>
        </w:rPr>
        <w:t>idem</w:t>
      </w:r>
      <w:r w:rsidRPr="000061CD">
        <w:rPr>
          <w:lang w:val="fr-FR"/>
        </w:rPr>
        <w:t>, § 138). Les juridictions nationales doivent se livrer à un examen approfondi de l’ensemble de la situation familiale et de toute une série d’éléments (</w:t>
      </w:r>
      <w:r w:rsidRPr="000061CD">
        <w:rPr>
          <w:i/>
          <w:lang w:val="fr-FR"/>
        </w:rPr>
        <w:t>X. c. Lettonie</w:t>
      </w:r>
      <w:r w:rsidRPr="000061CD">
        <w:rPr>
          <w:lang w:val="fr-FR"/>
        </w:rPr>
        <w:t xml:space="preserve"> [GC], n</w:t>
      </w:r>
      <w:r w:rsidRPr="000061CD">
        <w:rPr>
          <w:vertAlign w:val="superscript"/>
          <w:lang w:val="fr-FR"/>
        </w:rPr>
        <w:t>o</w:t>
      </w:r>
      <w:r w:rsidRPr="000061CD">
        <w:rPr>
          <w:lang w:val="fr-FR"/>
        </w:rPr>
        <w:t> 27853/09, § 104, CEDH 2013). Elles jouissent pour ce faire d’une certaine marge d’appréciation, laquelle s’accompagne toutefois d’un contrôle européen en vertu duquel la Cour examine sous l’angle de la Convention les décisions qu’elles ont rendues dans l’exercice de ce pouvoir.</w:t>
      </w:r>
    </w:p>
    <w:p w14:paraId="509728D0"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76</w:t>
      </w:r>
      <w:r w:rsidRPr="000061CD">
        <w:rPr>
          <w:lang w:val="fr-FR"/>
        </w:rPr>
        <w:fldChar w:fldCharType="end"/>
      </w:r>
      <w:r w:rsidRPr="000061CD">
        <w:rPr>
          <w:lang w:val="fr-FR"/>
        </w:rPr>
        <w:t>.  La Cour a dit aussi à de nombreuses reprises que, dans les affaires relatives à l’exécution des décisions relevant du droit de la famille, le point décisif consiste à savoir si les autorités nationales ont pris, pour faciliter l’exécution, toutes les mesures nécessaires que l’on pouvait raisonnablement exiger d’elles compte tenu des circonstances de l’espèce (</w:t>
      </w:r>
      <w:proofErr w:type="spellStart"/>
      <w:r w:rsidRPr="000061CD">
        <w:rPr>
          <w:i/>
          <w:iCs/>
          <w:lang w:val="fr-FR"/>
        </w:rPr>
        <w:t>Hokkanen</w:t>
      </w:r>
      <w:proofErr w:type="spellEnd"/>
      <w:r w:rsidRPr="000061CD">
        <w:rPr>
          <w:i/>
          <w:iCs/>
          <w:lang w:val="fr-FR"/>
        </w:rPr>
        <w:t xml:space="preserve"> c. Finlande</w:t>
      </w:r>
      <w:r w:rsidRPr="000061CD">
        <w:rPr>
          <w:lang w:val="fr-FR"/>
        </w:rPr>
        <w:t>, 23 septembre 1994, § 58, série A n</w:t>
      </w:r>
      <w:r w:rsidRPr="000061CD">
        <w:rPr>
          <w:vertAlign w:val="superscript"/>
          <w:lang w:val="fr-FR"/>
        </w:rPr>
        <w:t>o</w:t>
      </w:r>
      <w:r w:rsidRPr="000061CD">
        <w:rPr>
          <w:lang w:val="fr-FR"/>
        </w:rPr>
        <w:t xml:space="preserve"> 299-A, </w:t>
      </w:r>
      <w:r w:rsidRPr="000061CD">
        <w:rPr>
          <w:i/>
          <w:iCs/>
          <w:lang w:val="fr-FR"/>
        </w:rPr>
        <w:t>Ignaccolo-</w:t>
      </w:r>
      <w:proofErr w:type="spellStart"/>
      <w:r w:rsidRPr="000061CD">
        <w:rPr>
          <w:i/>
          <w:iCs/>
          <w:lang w:val="fr-FR"/>
        </w:rPr>
        <w:t>Zenide</w:t>
      </w:r>
      <w:proofErr w:type="spellEnd"/>
      <w:r w:rsidRPr="000061CD">
        <w:rPr>
          <w:lang w:val="fr-FR"/>
        </w:rPr>
        <w:t xml:space="preserve"> </w:t>
      </w:r>
      <w:r w:rsidRPr="000061CD">
        <w:rPr>
          <w:i/>
          <w:iCs/>
          <w:lang w:val="fr-FR"/>
        </w:rPr>
        <w:t>c. Roumanie</w:t>
      </w:r>
      <w:r w:rsidRPr="000061CD">
        <w:rPr>
          <w:lang w:val="fr-FR"/>
        </w:rPr>
        <w:t>, n</w:t>
      </w:r>
      <w:r w:rsidRPr="000061CD">
        <w:rPr>
          <w:vertAlign w:val="superscript"/>
          <w:lang w:val="fr-FR"/>
        </w:rPr>
        <w:t>o</w:t>
      </w:r>
      <w:r w:rsidRPr="000061CD">
        <w:rPr>
          <w:lang w:val="fr-FR"/>
        </w:rPr>
        <w:t xml:space="preserve"> 31679/96, § 96, CEDH 2000-I, </w:t>
      </w:r>
      <w:r w:rsidRPr="000061CD">
        <w:rPr>
          <w:bCs/>
          <w:i/>
          <w:iCs/>
          <w:lang w:val="fr-FR"/>
        </w:rPr>
        <w:t>Sylvester</w:t>
      </w:r>
      <w:r w:rsidRPr="000061CD">
        <w:rPr>
          <w:iCs/>
          <w:lang w:val="fr-FR"/>
        </w:rPr>
        <w:t xml:space="preserve"> </w:t>
      </w:r>
      <w:r w:rsidRPr="000061CD">
        <w:rPr>
          <w:i/>
          <w:iCs/>
          <w:lang w:val="fr-FR"/>
        </w:rPr>
        <w:t>c. Autriche</w:t>
      </w:r>
      <w:r w:rsidRPr="000061CD">
        <w:rPr>
          <w:iCs/>
          <w:lang w:val="fr-FR"/>
        </w:rPr>
        <w:t>, n</w:t>
      </w:r>
      <w:r w:rsidRPr="000061CD">
        <w:rPr>
          <w:iCs/>
          <w:vertAlign w:val="superscript"/>
          <w:lang w:val="fr-FR"/>
        </w:rPr>
        <w:t>os</w:t>
      </w:r>
      <w:r w:rsidRPr="000061CD">
        <w:rPr>
          <w:iCs/>
          <w:lang w:val="fr-FR"/>
        </w:rPr>
        <w:t xml:space="preserve"> 36812/97 et 40104/98, § 59, 24 avril 2003, et </w:t>
      </w:r>
      <w:proofErr w:type="spellStart"/>
      <w:r w:rsidRPr="000061CD">
        <w:rPr>
          <w:i/>
          <w:iCs/>
          <w:lang w:val="fr-FR"/>
        </w:rPr>
        <w:t>Bajrami</w:t>
      </w:r>
      <w:proofErr w:type="spellEnd"/>
      <w:r w:rsidRPr="000061CD">
        <w:rPr>
          <w:i/>
          <w:iCs/>
          <w:lang w:val="fr-FR"/>
        </w:rPr>
        <w:t xml:space="preserve"> c. Albanie</w:t>
      </w:r>
      <w:r w:rsidRPr="000061CD">
        <w:rPr>
          <w:iCs/>
          <w:lang w:val="fr-FR"/>
        </w:rPr>
        <w:t>, n</w:t>
      </w:r>
      <w:r w:rsidRPr="000061CD">
        <w:rPr>
          <w:iCs/>
          <w:vertAlign w:val="superscript"/>
          <w:lang w:val="fr-FR"/>
        </w:rPr>
        <w:t>o</w:t>
      </w:r>
      <w:r w:rsidRPr="000061CD">
        <w:rPr>
          <w:iCs/>
          <w:lang w:val="fr-FR"/>
        </w:rPr>
        <w:t> 35853/04, § 52, 12 décembre 2006</w:t>
      </w:r>
      <w:r w:rsidRPr="000061CD">
        <w:rPr>
          <w:lang w:val="fr-FR"/>
        </w:rPr>
        <w:t>).</w:t>
      </w:r>
    </w:p>
    <w:p w14:paraId="52058A07"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77</w:t>
      </w:r>
      <w:r w:rsidRPr="000061CD">
        <w:rPr>
          <w:lang w:val="fr-FR"/>
        </w:rPr>
        <w:fldChar w:fldCharType="end"/>
      </w:r>
      <w:r w:rsidRPr="000061CD">
        <w:rPr>
          <w:lang w:val="fr-FR"/>
        </w:rPr>
        <w:t>.  Si des mesures coercitives à l’égard des enfants ne sont pas souhaitables dans ce domaine délicat (</w:t>
      </w:r>
      <w:proofErr w:type="spellStart"/>
      <w:r w:rsidRPr="000061CD">
        <w:rPr>
          <w:i/>
          <w:lang w:val="fr-FR"/>
        </w:rPr>
        <w:t>Giorgioni</w:t>
      </w:r>
      <w:proofErr w:type="spellEnd"/>
      <w:r w:rsidRPr="000061CD">
        <w:rPr>
          <w:i/>
          <w:lang w:val="fr-FR"/>
        </w:rPr>
        <w:t xml:space="preserve"> c. Italie</w:t>
      </w:r>
      <w:r w:rsidRPr="000061CD">
        <w:rPr>
          <w:lang w:val="fr-FR"/>
        </w:rPr>
        <w:t>, n</w:t>
      </w:r>
      <w:r w:rsidRPr="000061CD">
        <w:rPr>
          <w:vertAlign w:val="superscript"/>
          <w:lang w:val="fr-FR"/>
        </w:rPr>
        <w:t>o</w:t>
      </w:r>
      <w:r w:rsidRPr="000061CD">
        <w:rPr>
          <w:lang w:val="fr-FR"/>
        </w:rPr>
        <w:t xml:space="preserve"> 43299/12, § 64, 15 septembre 2016, et </w:t>
      </w:r>
      <w:proofErr w:type="spellStart"/>
      <w:r w:rsidRPr="000061CD">
        <w:rPr>
          <w:i/>
          <w:iCs/>
          <w:lang w:val="fr-FR"/>
        </w:rPr>
        <w:t>Mitrova</w:t>
      </w:r>
      <w:proofErr w:type="spellEnd"/>
      <w:r w:rsidRPr="000061CD">
        <w:rPr>
          <w:i/>
          <w:iCs/>
          <w:lang w:val="fr-FR"/>
        </w:rPr>
        <w:t xml:space="preserve"> et </w:t>
      </w:r>
      <w:proofErr w:type="spellStart"/>
      <w:r w:rsidRPr="000061CD">
        <w:rPr>
          <w:i/>
          <w:iCs/>
          <w:lang w:val="fr-FR"/>
        </w:rPr>
        <w:t>Savik</w:t>
      </w:r>
      <w:proofErr w:type="spellEnd"/>
      <w:r w:rsidRPr="000061CD">
        <w:rPr>
          <w:lang w:val="fr-FR"/>
        </w:rPr>
        <w:t xml:space="preserve"> </w:t>
      </w:r>
      <w:r w:rsidRPr="000061CD">
        <w:rPr>
          <w:i/>
          <w:iCs/>
          <w:lang w:val="fr-FR"/>
        </w:rPr>
        <w:t>c. l’ex-République yougoslave de Macédoine</w:t>
      </w:r>
      <w:r w:rsidRPr="000061CD">
        <w:rPr>
          <w:lang w:val="fr-FR"/>
        </w:rPr>
        <w:t>, n</w:t>
      </w:r>
      <w:r w:rsidRPr="000061CD">
        <w:rPr>
          <w:vertAlign w:val="superscript"/>
          <w:lang w:val="fr-FR"/>
        </w:rPr>
        <w:t>o </w:t>
      </w:r>
      <w:r w:rsidRPr="000061CD">
        <w:rPr>
          <w:lang w:val="fr-FR"/>
        </w:rPr>
        <w:t>42534/09, § 77, 11 février 2016), le recours à des sanctions ne doit pas être écarté en cas de comportement illégal du parent avec lequel vivent les enfants (</w:t>
      </w:r>
      <w:r w:rsidRPr="000061CD">
        <w:rPr>
          <w:i/>
          <w:iCs/>
          <w:lang w:val="fr-FR"/>
        </w:rPr>
        <w:t>Ignaccolo-</w:t>
      </w:r>
      <w:proofErr w:type="spellStart"/>
      <w:r w:rsidRPr="000061CD">
        <w:rPr>
          <w:i/>
          <w:iCs/>
          <w:lang w:val="fr-FR"/>
        </w:rPr>
        <w:t>Zenide</w:t>
      </w:r>
      <w:proofErr w:type="spellEnd"/>
      <w:r w:rsidRPr="000061CD">
        <w:rPr>
          <w:lang w:val="fr-FR"/>
        </w:rPr>
        <w:t xml:space="preserve">, précité, § 106, et </w:t>
      </w:r>
      <w:proofErr w:type="spellStart"/>
      <w:r w:rsidRPr="000061CD">
        <w:rPr>
          <w:i/>
          <w:lang w:val="fr-FR"/>
        </w:rPr>
        <w:t>Bajrami</w:t>
      </w:r>
      <w:proofErr w:type="spellEnd"/>
      <w:r w:rsidRPr="000061CD">
        <w:rPr>
          <w:lang w:val="fr-FR"/>
        </w:rPr>
        <w:t>, précité, § 54). L’intérêt supérieur de l’enfant peut en outre parfois commander que l’enfant ne soit pas séparé du parent avec lequel il se trouve ou qu’il ne soit pas retourné au parent qui le réclame (</w:t>
      </w:r>
      <w:r w:rsidRPr="000061CD">
        <w:rPr>
          <w:i/>
          <w:lang w:val="fr-FR"/>
        </w:rPr>
        <w:t>Raw et autres c. France</w:t>
      </w:r>
      <w:r w:rsidRPr="000061CD">
        <w:rPr>
          <w:lang w:val="fr-FR"/>
        </w:rPr>
        <w:t>, n</w:t>
      </w:r>
      <w:r w:rsidRPr="000061CD">
        <w:rPr>
          <w:vertAlign w:val="superscript"/>
          <w:lang w:val="fr-FR"/>
        </w:rPr>
        <w:t>o</w:t>
      </w:r>
      <w:r w:rsidRPr="000061CD">
        <w:rPr>
          <w:lang w:val="fr-FR"/>
        </w:rPr>
        <w:t xml:space="preserve"> 10131/11, § 80, 7 mars 2013).</w:t>
      </w:r>
    </w:p>
    <w:p w14:paraId="398D1FE9"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78</w:t>
      </w:r>
      <w:r w:rsidRPr="000061CD">
        <w:rPr>
          <w:lang w:val="fr-FR"/>
        </w:rPr>
        <w:fldChar w:fldCharType="end"/>
      </w:r>
      <w:r w:rsidRPr="000061CD">
        <w:rPr>
          <w:lang w:val="fr-FR"/>
        </w:rPr>
        <w:t>.  Pour déterminer si les autorités nationales ont respecté les obligations que leur impose l’article 8, il faut tenir dûment compte de la situation de tous les membres de la famille, car la protection que garantit cette disposition s’étend à toute la famille (</w:t>
      </w:r>
      <w:r w:rsidRPr="000061CD">
        <w:rPr>
          <w:i/>
          <w:iCs/>
          <w:lang w:val="fr-FR"/>
        </w:rPr>
        <w:t>Jeunesse</w:t>
      </w:r>
      <w:r w:rsidRPr="000061CD">
        <w:rPr>
          <w:lang w:val="fr-FR"/>
        </w:rPr>
        <w:t xml:space="preserve"> c</w:t>
      </w:r>
      <w:r w:rsidRPr="000061CD">
        <w:rPr>
          <w:i/>
          <w:iCs/>
          <w:lang w:val="fr-FR"/>
        </w:rPr>
        <w:t xml:space="preserve">. Pays-Bas </w:t>
      </w:r>
      <w:r w:rsidRPr="000061CD">
        <w:rPr>
          <w:lang w:val="fr-FR"/>
        </w:rPr>
        <w:t>[GC], n</w:t>
      </w:r>
      <w:r w:rsidRPr="000061CD">
        <w:rPr>
          <w:vertAlign w:val="superscript"/>
          <w:lang w:val="fr-FR"/>
        </w:rPr>
        <w:t>o</w:t>
      </w:r>
      <w:r w:rsidRPr="000061CD">
        <w:rPr>
          <w:lang w:val="fr-FR"/>
        </w:rPr>
        <w:t xml:space="preserve"> 12738/10, § 117, CEDH 2014 et </w:t>
      </w:r>
      <w:proofErr w:type="spellStart"/>
      <w:r w:rsidRPr="000061CD">
        <w:rPr>
          <w:i/>
          <w:iCs/>
          <w:lang w:val="fr-FR"/>
        </w:rPr>
        <w:t>Kacper</w:t>
      </w:r>
      <w:proofErr w:type="spellEnd"/>
      <w:r w:rsidRPr="000061CD">
        <w:rPr>
          <w:i/>
          <w:iCs/>
          <w:lang w:val="fr-FR"/>
        </w:rPr>
        <w:t xml:space="preserve"> </w:t>
      </w:r>
      <w:proofErr w:type="spellStart"/>
      <w:r w:rsidRPr="000061CD">
        <w:rPr>
          <w:i/>
          <w:iCs/>
          <w:lang w:val="fr-FR"/>
        </w:rPr>
        <w:t>Nowakowski</w:t>
      </w:r>
      <w:proofErr w:type="spellEnd"/>
      <w:r w:rsidRPr="000061CD">
        <w:rPr>
          <w:i/>
          <w:iCs/>
          <w:lang w:val="fr-FR"/>
        </w:rPr>
        <w:t xml:space="preserve"> c. Pologne</w:t>
      </w:r>
      <w:r w:rsidRPr="000061CD">
        <w:rPr>
          <w:lang w:val="fr-FR"/>
        </w:rPr>
        <w:t>, n</w:t>
      </w:r>
      <w:r w:rsidRPr="000061CD">
        <w:rPr>
          <w:vertAlign w:val="superscript"/>
          <w:lang w:val="fr-FR"/>
        </w:rPr>
        <w:t>o</w:t>
      </w:r>
      <w:r w:rsidRPr="000061CD">
        <w:rPr>
          <w:lang w:val="fr-FR"/>
        </w:rPr>
        <w:t> 32407/13, § 71, 10 janvier 2017). La compréhension et la coopération de l’ensemble des personnes concernées constituent toujours un facteur important (</w:t>
      </w:r>
      <w:proofErr w:type="spellStart"/>
      <w:r w:rsidRPr="000061CD">
        <w:rPr>
          <w:i/>
          <w:iCs/>
          <w:lang w:val="fr-FR"/>
        </w:rPr>
        <w:t>Maumousseau</w:t>
      </w:r>
      <w:proofErr w:type="spellEnd"/>
      <w:r w:rsidRPr="000061CD">
        <w:rPr>
          <w:i/>
          <w:iCs/>
          <w:lang w:val="fr-FR"/>
        </w:rPr>
        <w:t xml:space="preserve"> et Washington c. France</w:t>
      </w:r>
      <w:r w:rsidRPr="000061CD">
        <w:rPr>
          <w:lang w:val="fr-FR"/>
        </w:rPr>
        <w:t>, n</w:t>
      </w:r>
      <w:r w:rsidRPr="000061CD">
        <w:rPr>
          <w:vertAlign w:val="superscript"/>
          <w:lang w:val="fr-FR"/>
        </w:rPr>
        <w:t>o</w:t>
      </w:r>
      <w:r w:rsidRPr="000061CD">
        <w:rPr>
          <w:lang w:val="fr-FR"/>
        </w:rPr>
        <w:t xml:space="preserve"> 39388/05, § 83, 6 décembre 2007), souvent l’unique solution pacifique, adéquate et tenant compte de l’état psychologique de l’enfant. L’existence d’une voie de médiation civile dans le système judiciaire national, comme le préconise la Recommandation du Comité des Ministres du Conseil de l’Europe n</w:t>
      </w:r>
      <w:r w:rsidRPr="000061CD">
        <w:rPr>
          <w:vertAlign w:val="superscript"/>
          <w:lang w:val="fr-FR"/>
        </w:rPr>
        <w:t>o</w:t>
      </w:r>
      <w:r w:rsidRPr="000061CD">
        <w:rPr>
          <w:lang w:val="fr-FR"/>
        </w:rPr>
        <w:t> Rec (98)1 sur la médiation familiale, est souhaitable en tant qu’aide à une telle coopération à l’ensemble des parties au litige (</w:t>
      </w:r>
      <w:proofErr w:type="spellStart"/>
      <w:r w:rsidRPr="000061CD">
        <w:rPr>
          <w:i/>
          <w:iCs/>
          <w:lang w:val="fr-FR"/>
        </w:rPr>
        <w:t>Cengiz</w:t>
      </w:r>
      <w:proofErr w:type="spellEnd"/>
      <w:r w:rsidRPr="000061CD">
        <w:rPr>
          <w:i/>
          <w:iCs/>
          <w:lang w:val="fr-FR"/>
        </w:rPr>
        <w:t xml:space="preserve"> </w:t>
      </w:r>
      <w:proofErr w:type="spellStart"/>
      <w:r w:rsidRPr="000061CD">
        <w:rPr>
          <w:i/>
          <w:iCs/>
          <w:lang w:val="fr-FR"/>
        </w:rPr>
        <w:t>Kılıç</w:t>
      </w:r>
      <w:proofErr w:type="spellEnd"/>
      <w:r w:rsidRPr="000061CD">
        <w:rPr>
          <w:i/>
          <w:iCs/>
          <w:lang w:val="fr-FR"/>
        </w:rPr>
        <w:t xml:space="preserve"> c. Turquie</w:t>
      </w:r>
      <w:r w:rsidRPr="000061CD">
        <w:rPr>
          <w:lang w:val="fr-FR"/>
        </w:rPr>
        <w:t>, n</w:t>
      </w:r>
      <w:r w:rsidRPr="000061CD">
        <w:rPr>
          <w:vertAlign w:val="superscript"/>
          <w:lang w:val="fr-FR"/>
        </w:rPr>
        <w:t>o </w:t>
      </w:r>
      <w:r w:rsidRPr="000061CD">
        <w:rPr>
          <w:lang w:val="fr-FR"/>
        </w:rPr>
        <w:t xml:space="preserve">16192/06, §§ 132-133, 6 décembre 2011 et </w:t>
      </w:r>
      <w:proofErr w:type="spellStart"/>
      <w:r w:rsidRPr="000061CD">
        <w:rPr>
          <w:i/>
          <w:iCs/>
          <w:lang w:val="fr-FR"/>
        </w:rPr>
        <w:t>Kacper</w:t>
      </w:r>
      <w:proofErr w:type="spellEnd"/>
      <w:r w:rsidRPr="000061CD">
        <w:rPr>
          <w:i/>
          <w:iCs/>
          <w:lang w:val="fr-FR"/>
        </w:rPr>
        <w:t xml:space="preserve"> </w:t>
      </w:r>
      <w:proofErr w:type="spellStart"/>
      <w:r w:rsidRPr="000061CD">
        <w:rPr>
          <w:i/>
          <w:iCs/>
          <w:lang w:val="fr-FR"/>
        </w:rPr>
        <w:t>Nowakowski</w:t>
      </w:r>
      <w:proofErr w:type="spellEnd"/>
      <w:r w:rsidRPr="000061CD">
        <w:rPr>
          <w:i/>
          <w:iCs/>
          <w:lang w:val="fr-FR"/>
        </w:rPr>
        <w:t xml:space="preserve"> c. Pologne</w:t>
      </w:r>
      <w:r w:rsidRPr="000061CD">
        <w:rPr>
          <w:lang w:val="fr-FR"/>
        </w:rPr>
        <w:t>, précité, § 87).</w:t>
      </w:r>
    </w:p>
    <w:p w14:paraId="760E00A9"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79</w:t>
      </w:r>
      <w:r w:rsidRPr="000061CD">
        <w:rPr>
          <w:lang w:val="fr-FR"/>
        </w:rPr>
        <w:fldChar w:fldCharType="end"/>
      </w:r>
      <w:r w:rsidRPr="000061CD">
        <w:rPr>
          <w:lang w:val="fr-FR"/>
        </w:rPr>
        <w:t xml:space="preserve">.  L’adéquation des mesures prises par les autorités se juge en particulier à la rapidité de leur mise en œuvre, le passage du temps pouvant </w:t>
      </w:r>
      <w:proofErr w:type="gramStart"/>
      <w:r w:rsidRPr="000061CD">
        <w:rPr>
          <w:lang w:val="fr-FR"/>
        </w:rPr>
        <w:t>avoir</w:t>
      </w:r>
      <w:proofErr w:type="gramEnd"/>
      <w:r w:rsidRPr="000061CD">
        <w:rPr>
          <w:lang w:val="fr-FR"/>
        </w:rPr>
        <w:t xml:space="preserve"> des conséquences irrémédiables pour les relations entre les enfants et celui des parents qui ne vit pas avec eux. La Convention de La Haye prévoit d’ailleurs un ensemble de mesures tendant à assurer le retour immédiat des enfants déplacés ou retenus illicitement dans un État contractant, et son article 11 précise que les autorités judiciaires ou administratives saisies doivent procéder d’urgence en vue de ce retour (voir, notamment, </w:t>
      </w:r>
      <w:r w:rsidRPr="000061CD">
        <w:rPr>
          <w:i/>
          <w:lang w:val="fr-FR"/>
        </w:rPr>
        <w:t>Ignaccolo-</w:t>
      </w:r>
      <w:proofErr w:type="spellStart"/>
      <w:r w:rsidRPr="000061CD">
        <w:rPr>
          <w:i/>
          <w:lang w:val="fr-FR"/>
        </w:rPr>
        <w:t>Zenide</w:t>
      </w:r>
      <w:proofErr w:type="spellEnd"/>
      <w:r w:rsidRPr="000061CD">
        <w:rPr>
          <w:lang w:val="fr-FR"/>
        </w:rPr>
        <w:t xml:space="preserve">, précité, § 102, </w:t>
      </w:r>
      <w:proofErr w:type="spellStart"/>
      <w:r w:rsidRPr="000061CD">
        <w:rPr>
          <w:i/>
          <w:lang w:val="fr-FR"/>
        </w:rPr>
        <w:t>Karoussiotis</w:t>
      </w:r>
      <w:proofErr w:type="spellEnd"/>
      <w:r w:rsidRPr="000061CD">
        <w:rPr>
          <w:i/>
          <w:lang w:val="fr-FR"/>
        </w:rPr>
        <w:t xml:space="preserve"> c. Portugal, </w:t>
      </w:r>
      <w:r w:rsidRPr="000061CD">
        <w:rPr>
          <w:lang w:val="fr-FR"/>
        </w:rPr>
        <w:t>n</w:t>
      </w:r>
      <w:r w:rsidRPr="000061CD">
        <w:rPr>
          <w:vertAlign w:val="superscript"/>
          <w:lang w:val="fr-FR"/>
        </w:rPr>
        <w:t>o</w:t>
      </w:r>
      <w:r w:rsidRPr="000061CD">
        <w:rPr>
          <w:lang w:val="fr-FR"/>
        </w:rPr>
        <w:t xml:space="preserve"> 23205/08, §§ 84-91, CEDH 2011 (extraits), et </w:t>
      </w:r>
      <w:r w:rsidRPr="000061CD">
        <w:rPr>
          <w:i/>
          <w:lang w:val="fr-FR"/>
        </w:rPr>
        <w:t>Raw et autres</w:t>
      </w:r>
      <w:r w:rsidRPr="000061CD">
        <w:rPr>
          <w:lang w:val="fr-FR"/>
        </w:rPr>
        <w:t>, précité, § 83).</w:t>
      </w:r>
    </w:p>
    <w:p w14:paraId="123C5D7E" w14:textId="77777777" w:rsidR="004E113F" w:rsidRPr="000061CD" w:rsidRDefault="004E113F" w:rsidP="004E113F">
      <w:pPr>
        <w:pStyle w:val="ECHRHeading4"/>
      </w:pPr>
      <w:r w:rsidRPr="000061CD">
        <w:t>b)  Application des principes en l’espèce</w:t>
      </w:r>
    </w:p>
    <w:p w14:paraId="30DB5542"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80</w:t>
      </w:r>
      <w:r w:rsidRPr="000061CD">
        <w:rPr>
          <w:lang w:val="fr-FR"/>
        </w:rPr>
        <w:fldChar w:fldCharType="end"/>
      </w:r>
      <w:r w:rsidRPr="000061CD">
        <w:rPr>
          <w:lang w:val="fr-FR"/>
        </w:rPr>
        <w:t>.  La Cour note d’emblée que : le jugement n</w:t>
      </w:r>
      <w:r w:rsidRPr="000061CD">
        <w:rPr>
          <w:vertAlign w:val="superscript"/>
          <w:lang w:val="fr-FR"/>
        </w:rPr>
        <w:t>o</w:t>
      </w:r>
      <w:r w:rsidRPr="000061CD">
        <w:rPr>
          <w:lang w:val="fr-FR"/>
        </w:rPr>
        <w:t xml:space="preserve"> 330/2008 a confié la garde des enfants à la requérante et a fixé un droit de visite pour le père ; la décision du juge aux affaires familiales de Charleville-Mézières de juillet 2013 a fixé en France le domicile de A. et a accordé à son père un droit de visite en Grèce ; le jugement n</w:t>
      </w:r>
      <w:r w:rsidRPr="000061CD">
        <w:rPr>
          <w:vertAlign w:val="superscript"/>
          <w:lang w:val="fr-FR"/>
        </w:rPr>
        <w:t>o</w:t>
      </w:r>
      <w:r w:rsidRPr="000061CD">
        <w:rPr>
          <w:lang w:val="fr-FR"/>
        </w:rPr>
        <w:t xml:space="preserve"> 404/2015 du tribunal de première instance de Ioannina a ordonné le retour de A. auprès de sa mère en application des dispositions de la Convention de La Haye ; la décision du juge aux affaires familiales de Charleville-Mézières du 2 octobre 2015 a indiqué que le domicile de A. était celui de sa mère en France et que A.V. l’avait illicitement retenu en Grèce ; le jugement n</w:t>
      </w:r>
      <w:r w:rsidRPr="000061CD">
        <w:rPr>
          <w:vertAlign w:val="superscript"/>
          <w:lang w:val="fr-FR"/>
        </w:rPr>
        <w:t>o</w:t>
      </w:r>
      <w:r w:rsidRPr="000061CD">
        <w:rPr>
          <w:lang w:val="fr-FR"/>
        </w:rPr>
        <w:t xml:space="preserve"> 31/2016 du tribunal de première instance de Ioannina a révoqué la décision antérieure du même tribunal par laquelle il avait attribué provisoirement la garde de A. à son père et l’a confiée à la requérante. Une multitude de décisions judiciaires, dont deux définitives – le jugement n</w:t>
      </w:r>
      <w:r w:rsidRPr="000061CD">
        <w:rPr>
          <w:vertAlign w:val="superscript"/>
          <w:lang w:val="fr-FR"/>
        </w:rPr>
        <w:t>o</w:t>
      </w:r>
      <w:r w:rsidRPr="000061CD">
        <w:rPr>
          <w:lang w:val="fr-FR"/>
        </w:rPr>
        <w:t xml:space="preserve"> 404/2015 et celui du juge aux affaires familiales de Charleville-Mézières du 2 octobre 2015 – ont attribué la garde de A. à la requérante.</w:t>
      </w:r>
    </w:p>
    <w:p w14:paraId="69629E70"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81</w:t>
      </w:r>
      <w:r w:rsidRPr="000061CD">
        <w:rPr>
          <w:lang w:val="fr-FR"/>
        </w:rPr>
        <w:fldChar w:fldCharType="end"/>
      </w:r>
      <w:r w:rsidRPr="000061CD">
        <w:rPr>
          <w:lang w:val="fr-FR"/>
        </w:rPr>
        <w:t>.  La Cour estime que, dans la mesure où ils engagent la responsabilité de l’État défendeur, les faits de l’espèce constituent clairement une ingérence dans l’exercice du droit au respect de la vie familiale de la requérante, que l’inexécution de la décision d’attribution du droit de garde a privé de la présence de son fils A.</w:t>
      </w:r>
    </w:p>
    <w:p w14:paraId="07652A3F" w14:textId="77777777" w:rsidR="004E113F" w:rsidRPr="000061CD" w:rsidRDefault="004E113F" w:rsidP="004E113F">
      <w:pPr>
        <w:pStyle w:val="ECHRPara"/>
        <w:rPr>
          <w:lang w:val="fr-FR"/>
        </w:rPr>
      </w:pPr>
      <w:r w:rsidRPr="000061CD">
        <w:fldChar w:fldCharType="begin"/>
      </w:r>
      <w:r w:rsidRPr="000061CD">
        <w:rPr>
          <w:lang w:val="fr-FR"/>
        </w:rPr>
        <w:instrText xml:space="preserve"> SEQ level0 \*arabic </w:instrText>
      </w:r>
      <w:r w:rsidRPr="000061CD">
        <w:fldChar w:fldCharType="separate"/>
      </w:r>
      <w:r w:rsidRPr="000061CD">
        <w:rPr>
          <w:noProof/>
          <w:lang w:val="fr-FR"/>
        </w:rPr>
        <w:t>82</w:t>
      </w:r>
      <w:r w:rsidRPr="000061CD">
        <w:fldChar w:fldCharType="end"/>
      </w:r>
      <w:r w:rsidRPr="000061CD">
        <w:rPr>
          <w:lang w:val="fr-FR"/>
        </w:rPr>
        <w:t>.  Elle doit donc déterminer si les autorités nationales ont pris pour assurer le retour de A. « toutes les mesures que l’on pouvait raisonnablement exiger d’elles » ou, autrement dit, si elles ont pris « les mesures nécessaires et adéquates » à cette fin (</w:t>
      </w:r>
      <w:r w:rsidRPr="000061CD">
        <w:rPr>
          <w:i/>
          <w:lang w:val="fr-FR"/>
        </w:rPr>
        <w:t>Raw et autres</w:t>
      </w:r>
      <w:r w:rsidRPr="000061CD">
        <w:rPr>
          <w:lang w:val="fr-FR"/>
        </w:rPr>
        <w:t>, précité, § 84). Il en va d’autant plus ainsi en l’espèce que l’État défendeur est également partie à la Convention de la Haye, dont l’article 7 dresse une liste de mesures à prendre par les États pour assurer le retour immédiat des enfants.</w:t>
      </w:r>
    </w:p>
    <w:p w14:paraId="4F127A84"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83</w:t>
      </w:r>
      <w:r w:rsidRPr="000061CD">
        <w:rPr>
          <w:lang w:val="fr-FR"/>
        </w:rPr>
        <w:fldChar w:fldCharType="end"/>
      </w:r>
      <w:r w:rsidRPr="000061CD">
        <w:rPr>
          <w:lang w:val="fr-FR"/>
        </w:rPr>
        <w:t>.  En premier lieu, la Cour souligne que, en raison du caractère définitif du jugement n</w:t>
      </w:r>
      <w:r w:rsidRPr="000061CD">
        <w:rPr>
          <w:vertAlign w:val="superscript"/>
          <w:lang w:val="fr-FR"/>
        </w:rPr>
        <w:t>o</w:t>
      </w:r>
      <w:r w:rsidRPr="000061CD">
        <w:rPr>
          <w:lang w:val="fr-FR"/>
        </w:rPr>
        <w:t xml:space="preserve"> 404/2015, il s’imposait aux autorités judiciaires ainsi qu’aux autorités administratives et aux assistants sociaux de prendre des mesures de nature à favoriser l’exécution de celui-ci.</w:t>
      </w:r>
    </w:p>
    <w:p w14:paraId="12F30CAC"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84</w:t>
      </w:r>
      <w:r w:rsidRPr="000061CD">
        <w:rPr>
          <w:lang w:val="fr-FR"/>
        </w:rPr>
        <w:fldChar w:fldCharType="end"/>
      </w:r>
      <w:r w:rsidRPr="000061CD">
        <w:rPr>
          <w:lang w:val="fr-FR"/>
        </w:rPr>
        <w:t>.  La Cour note que le 19 juillet 2016, la requérante a saisi le procureur près le tribunal correctionnel de Ioannina d’une demande en application de l’article 1</w:t>
      </w:r>
      <w:r w:rsidRPr="000061CD">
        <w:rPr>
          <w:vertAlign w:val="superscript"/>
          <w:lang w:val="fr-FR"/>
        </w:rPr>
        <w:t>er</w:t>
      </w:r>
      <w:r w:rsidRPr="000061CD">
        <w:rPr>
          <w:lang w:val="fr-FR"/>
        </w:rPr>
        <w:t xml:space="preserve"> de la loi n</w:t>
      </w:r>
      <w:r w:rsidRPr="000061CD">
        <w:rPr>
          <w:vertAlign w:val="superscript"/>
          <w:lang w:val="fr-FR"/>
        </w:rPr>
        <w:t>o</w:t>
      </w:r>
      <w:r w:rsidRPr="000061CD">
        <w:rPr>
          <w:lang w:val="fr-FR"/>
        </w:rPr>
        <w:t xml:space="preserve"> 2102/1992 portant ratification de la Convention de La Haye. Elle invitait le procureur à ordonner au service compétent du ministère de la Santé, de l’Assistance sociale et de la Sécurité sociale d’assumer temporairement la garde de A. jusqu’à ce que celui-ci lui fût rendu, conformément au jugement n</w:t>
      </w:r>
      <w:r w:rsidRPr="000061CD">
        <w:rPr>
          <w:vertAlign w:val="superscript"/>
          <w:lang w:val="fr-FR"/>
        </w:rPr>
        <w:t>o</w:t>
      </w:r>
      <w:r w:rsidRPr="000061CD">
        <w:rPr>
          <w:lang w:val="fr-FR"/>
        </w:rPr>
        <w:t xml:space="preserve"> 404/2015 qui lui avait attribué la garde de l’enfant. Or, le même jour, le procureur a transmis cette demande aux services compétents, dont les services sociaux de la mairie de Ioannina. Il a aussi engagé des poursuites contre A.V. pour enlèvement d’enfant et refus de se conformer à une décision judiciaire. D’autre part, les services sociaux de la mairie de Ioannina se sont mobilisés rapidement lorsque le procureur les a saisis de la demande de la requérante : ils ont essayé à plusieurs reprises de localiser A. au courant du mois d’août 2016, et se sont finalement entretenus avec lui le 26 août.</w:t>
      </w:r>
    </w:p>
    <w:p w14:paraId="1139D97C"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85</w:t>
      </w:r>
      <w:r w:rsidRPr="000061CD">
        <w:rPr>
          <w:lang w:val="fr-FR"/>
        </w:rPr>
        <w:fldChar w:fldCharType="end"/>
      </w:r>
      <w:r w:rsidRPr="000061CD">
        <w:rPr>
          <w:lang w:val="fr-FR"/>
        </w:rPr>
        <w:t>.  Dans leurs constats inclus dans le rapport établi après cet entretien, ils notaient que l’enfant souhaitait rester chez son père, où il vivait avec son frère et sa grand-mère paternelle, jusqu’à ce que son frère termine ses études secondaires et décide de l’endroit où il souhaitait les poursuivre. Selon ce rapport, A. avait aussi déclaré qu’il souhaitait que sa mère arrête d’aller devant les tribunaux et qu’une solution fût trouvée ; il s’était plaint de la suspension de sa scolarisation pendant quatre semaines, fait dont il tenait sa mère pour responsable, et soutenait qu’il voulait continuer à aller à l’école à Ioannina ; il avait exprimé une vive colère contre sa mère et répété qu’il ne voulait pas retourner en France. L’assistant social ajoutait qu’il était impératif pour les parents de trouver une solution de compromis et d’arrêter de perturber l’état psychologique des enfants, notamment celui de A., et pour les enfants de consulter un pédopsychiatre.</w:t>
      </w:r>
    </w:p>
    <w:p w14:paraId="735929F5"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86</w:t>
      </w:r>
      <w:r w:rsidRPr="000061CD">
        <w:rPr>
          <w:lang w:val="fr-FR"/>
        </w:rPr>
        <w:fldChar w:fldCharType="end"/>
      </w:r>
      <w:r w:rsidRPr="000061CD">
        <w:rPr>
          <w:lang w:val="fr-FR"/>
        </w:rPr>
        <w:t>.  Toujours le 26 août 2016, A. et I., respectivement âgés de 13 et 16 ans, avaient été entendus par le tribunal correctionnel dans le cadre de l’examen de la plainte déposée le 17 août 2016 par la requérante pour enlèvement d’enfant. À cette occasion, A. avait déclaré vouloir rester avec son frère et son père car il se serait senti plus en sécurité avec eux et car il n’aurait pas fait, à leurs côtés, l’objet de pressions psychologiques. Il avait ajouté qu’il aimait sa mère mais que, après ce qu’elle avait fait, il ne pouvait pas lui pardonner.</w:t>
      </w:r>
    </w:p>
    <w:p w14:paraId="3EAB99E2"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87</w:t>
      </w:r>
      <w:r w:rsidRPr="000061CD">
        <w:rPr>
          <w:lang w:val="fr-FR"/>
        </w:rPr>
        <w:fldChar w:fldCharType="end"/>
      </w:r>
      <w:r w:rsidRPr="000061CD">
        <w:rPr>
          <w:lang w:val="fr-FR"/>
        </w:rPr>
        <w:t>.  Enfin, dans un rapport établi le 15 septembre 2016 par le psychologue de la clinique psychiatrique de Ioannina appelé à évaluer les constats de l’assistant social, le psychologue notait que A. avait réitéré de manière constante et claire son souhait de rester en Grèce, où il aurait été près de son frère et où il aurait pu entretenir ses relations personnelles et poursuivre ses activités. A. lui aurait également fait part d’un sentiment de fatigue et de tristesse concernant le conflit entre sa mère et son père, mais aussi de colère contre sa mère en raison de l’insistance de celle-ci de le faire revenir en France contre sa volonté. Le psychologue préconisait de ne pas séparer les enfants compte tenu du fait que tous les deux décrivaient leur relation comme une source de soutien et d’assistance mutuels.</w:t>
      </w:r>
    </w:p>
    <w:p w14:paraId="583B52EF"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88</w:t>
      </w:r>
      <w:r w:rsidRPr="000061CD">
        <w:rPr>
          <w:lang w:val="fr-FR"/>
        </w:rPr>
        <w:fldChar w:fldCharType="end"/>
      </w:r>
      <w:r w:rsidRPr="000061CD">
        <w:rPr>
          <w:lang w:val="fr-FR"/>
        </w:rPr>
        <w:t xml:space="preserve">.  Force est de constater que l’article 7 de la Convention de La Haye fait obligation aux autorités centrales des États membres de coopérer entre elles et promouvoir une collaboration entre les autorités compétentes dans leurs États respectifs pour assurer la remise volontaire de l’enfant ou faciliter une solution amiable (paragraphe 44 ci-dessus). Toutefois, compte tenu des circonstances de l’espèce et notamment des relations </w:t>
      </w:r>
      <w:r w:rsidRPr="000061CD">
        <w:rPr>
          <w:bCs/>
          <w:lang w:val="fr-FR"/>
        </w:rPr>
        <w:t>hautement conflictuelles</w:t>
      </w:r>
      <w:r w:rsidRPr="000061CD">
        <w:rPr>
          <w:lang w:val="fr-FR"/>
        </w:rPr>
        <w:t xml:space="preserve"> entre la requérante et son ex-mari et du fait que celle-ci résidait en France, la Cour constate que les autorités pouvaient difficilement privilégier la voie de la coopération et de la négociation entre les parents de A., comme le préconise l’article 7 précité </w:t>
      </w:r>
      <w:r w:rsidRPr="000061CD">
        <w:rPr>
          <w:bCs/>
          <w:lang w:val="fr-FR"/>
        </w:rPr>
        <w:t>ou celle de la médiation préconisée par la Recommandation du Comité des Ministres du Conseil de l’Europe sur la médiation familiale (paragraphe 48 ci-dessus)</w:t>
      </w:r>
      <w:r w:rsidRPr="000061CD">
        <w:rPr>
          <w:lang w:val="fr-FR"/>
        </w:rPr>
        <w:t>. En outre, il convient de souligner qu’à l’époque des faits susmentionnés, A. avait atteint l’âge de discernement et sa volonté clairement exprimée de rester en Grèce ne pouvait que peser lourdement sur les choix offerts aux autorités. Or, l’intérêt supérieur de l’enfant s’oppose en règle générale à ce que des mesures coercitives soient prises à son encontre. La Cour note par ailleurs que l’article 13 de la Convention de La Haye, invoquée d’ailleurs par la requérante, prévoit que l’autorité judiciaire ou administrative peut aussi refuser d’ordonner le retour de l’enfant si elle constate que celui-ci s’y oppose et qu’il a atteint un âge et une maturité où il se révèle approprié de tenir compte de cette opinion (paragraphe 44 ci-dessus).</w:t>
      </w:r>
    </w:p>
    <w:p w14:paraId="76E980E0" w14:textId="77777777" w:rsidR="004E113F" w:rsidRPr="000061CD" w:rsidRDefault="004E113F" w:rsidP="004E113F">
      <w:pPr>
        <w:pStyle w:val="ECHRPara"/>
        <w:rPr>
          <w:bCs/>
          <w:szCs w:val="24"/>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89</w:t>
      </w:r>
      <w:r w:rsidRPr="000061CD">
        <w:rPr>
          <w:lang w:val="fr-FR"/>
        </w:rPr>
        <w:fldChar w:fldCharType="end"/>
      </w:r>
      <w:r w:rsidRPr="000061CD">
        <w:rPr>
          <w:lang w:val="fr-FR"/>
        </w:rPr>
        <w:t>.  </w:t>
      </w:r>
      <w:r w:rsidRPr="000061CD">
        <w:rPr>
          <w:bCs/>
          <w:szCs w:val="24"/>
          <w:lang w:val="fr-FR"/>
        </w:rPr>
        <w:t xml:space="preserve">En outre, la Cour relève que dans son article 11 § 8, le Règlement Bruxelles II </w:t>
      </w:r>
      <w:r w:rsidRPr="000061CD">
        <w:rPr>
          <w:bCs/>
          <w:i/>
          <w:iCs/>
          <w:szCs w:val="24"/>
          <w:lang w:val="fr-FR"/>
        </w:rPr>
        <w:t>bis</w:t>
      </w:r>
      <w:r w:rsidRPr="000061CD">
        <w:rPr>
          <w:bCs/>
          <w:szCs w:val="24"/>
          <w:lang w:val="fr-FR"/>
        </w:rPr>
        <w:t xml:space="preserve"> (paragraphe 50 ci-dessus) prévoit de confier aux autorités de l’État d’origine l’opportunité de s’opposer à une décision de non-retour qui aurait été rendue par les autorités de l’État refuge. Une telle décision de « retour nonobstant » jouit de la force exécutoire dans l’État refuge sans qu’aucune déclaration lui reconnaissant force exécutoire ne soit requise et sans qu’il ne soit possible de s’opposer à sa reconnaissance (article 42 § 1 combiné avec l’article 11 § 8 du Règlement). Toutefois, en l’espèce, la Cour part de l’idée que l’article 11 § 8 du Règlement ne s’applique pas, en l’absence d’une décision juridictionnelle française ordonnant formellement le retour de l’enfant conformément aux termes de cette décision. En effet le jugement du 2 octobre 2015 du juge aux affaires familiales de Charleville-Mézières ne remplit pas ces conditions.</w:t>
      </w:r>
    </w:p>
    <w:p w14:paraId="7701FA59"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90</w:t>
      </w:r>
      <w:r w:rsidRPr="000061CD">
        <w:rPr>
          <w:lang w:val="fr-FR"/>
        </w:rPr>
        <w:fldChar w:fldCharType="end"/>
      </w:r>
      <w:r w:rsidRPr="000061CD">
        <w:rPr>
          <w:lang w:val="fr-FR"/>
        </w:rPr>
        <w:t>.  </w:t>
      </w:r>
      <w:r w:rsidRPr="000061CD">
        <w:rPr>
          <w:bCs/>
          <w:szCs w:val="24"/>
          <w:lang w:val="fr-FR"/>
        </w:rPr>
        <w:t>En tout état de cause, les autorités grecques, en plus de correspondre au prescrit de l’article 8, semblent avoir agi aussi dans l’esprit de la Convention de La Haye et du Règlement.</w:t>
      </w:r>
      <w:r w:rsidRPr="000061CD">
        <w:rPr>
          <w:lang w:val="fr-FR"/>
        </w:rPr>
        <w:t xml:space="preserve"> À cet égard, il ne faut pas perdre de vue que le jugement de 2015 était fondé sur des éléments remontant à 2013 lorsque ce même juge avait fixé le domicile de A. en France. La Cour observe, en outre, que le jugement précité n’a pas pris en considération le fait que A. avait un frère qui était resté en Grèce et le lien très étroit qui l’unissait à lui. Autrement dit, l’arrêt en question n’a pas tenu compte de la situation familiale dans son ensemble. De plus, la situation pendant toutes ces années avait évolué radicalement, au point que A. ne souhaitait plus suivre sa mère en France et avait exprimé sa volonté de rester avec son frère et son père, à côté desquels il se sentait en sécurité. A. avait fait part de cette volonté</w:t>
      </w:r>
      <w:r w:rsidRPr="000061CD">
        <w:rPr>
          <w:b/>
          <w:lang w:val="fr-FR"/>
        </w:rPr>
        <w:t xml:space="preserve"> </w:t>
      </w:r>
      <w:r w:rsidRPr="000061CD">
        <w:rPr>
          <w:lang w:val="fr-FR"/>
        </w:rPr>
        <w:t>de manière très ferme tant devant les assistants sociaux (paragraphe 34 ci</w:t>
      </w:r>
      <w:r w:rsidRPr="000061CD">
        <w:rPr>
          <w:lang w:val="fr-FR"/>
        </w:rPr>
        <w:noBreakHyphen/>
        <w:t>dessus) que devant le tribunal correctionnel (paragraphe 36 ci-dessus). Ces éléments ne sauraient être ignorés dans l’appréciation de l’attitude des autorités grecques qui ont pris en compte l’ensemble de la situation familiale, l’évolution de celle-ci dans le temps et l’intérêt supérieur des deux frères et notamment de A. qui avait déjà atteint à cette époque l’âge de treize ans.</w:t>
      </w:r>
    </w:p>
    <w:p w14:paraId="21EE149B"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91</w:t>
      </w:r>
      <w:r w:rsidRPr="000061CD">
        <w:rPr>
          <w:lang w:val="fr-FR"/>
        </w:rPr>
        <w:fldChar w:fldCharType="end"/>
      </w:r>
      <w:r w:rsidRPr="000061CD">
        <w:rPr>
          <w:lang w:val="fr-FR"/>
        </w:rPr>
        <w:t xml:space="preserve">.  Or, la volonté exprimée par un enfant ayant un discernement suffisant est un élément clé à prendre en considération dans toute procédure judiciaire ou administrative le concernant </w:t>
      </w:r>
      <w:r w:rsidRPr="000061CD">
        <w:rPr>
          <w:rFonts w:ascii="Times New Roman" w:eastAsia="Times New Roman" w:hAnsi="Times New Roman" w:cs="Times New Roman"/>
          <w:lang w:val="fr-FR"/>
        </w:rPr>
        <w:t>(</w:t>
      </w:r>
      <w:r w:rsidRPr="000061CD">
        <w:rPr>
          <w:rFonts w:ascii="Times New Roman" w:eastAsia="Times New Roman" w:hAnsi="Times New Roman" w:cs="Times New Roman"/>
          <w:i/>
          <w:lang w:val="fr-FR"/>
        </w:rPr>
        <w:t>M. et M. c. Croatie</w:t>
      </w:r>
      <w:r w:rsidRPr="000061CD">
        <w:rPr>
          <w:rFonts w:ascii="Times New Roman" w:eastAsia="Times New Roman" w:hAnsi="Times New Roman" w:cs="Times New Roman"/>
          <w:lang w:val="fr-FR"/>
        </w:rPr>
        <w:t>, précité, § 171)</w:t>
      </w:r>
      <w:r w:rsidRPr="000061CD">
        <w:rPr>
          <w:lang w:val="fr-FR"/>
        </w:rPr>
        <w:t>. Le droit d’un enfant d’être entendu et de participer à la prise de décision dans une procédure familiale qui l’affecte en premier lieu est garanti par plusieurs instruments juridiques internationaux. Ainsi l’article 12 de la Convention internationale relative aux droits de l’enfant accorde à l’enfant le droit d’être entendu dans toute procédure judiciaire ou administrative l’intéressant (paragraphe 45 ci-dessus). Ce droit est également prévu par les articles 3 et 6 de la Convention européenne sur l’exercice des droits de l’enfant du Conseil de l’Europe (paragraphe 46 ci-dessus), par la Recommandation Cm/</w:t>
      </w:r>
      <w:proofErr w:type="gramStart"/>
      <w:r w:rsidRPr="000061CD">
        <w:rPr>
          <w:lang w:val="fr-FR"/>
        </w:rPr>
        <w:t>Rec(</w:t>
      </w:r>
      <w:proofErr w:type="gramEnd"/>
      <w:r w:rsidRPr="000061CD">
        <w:rPr>
          <w:lang w:val="fr-FR"/>
        </w:rPr>
        <w:t>2012)2 du Comité des Ministres du Conseil de l’Europe (paragraphe 47 ci-dessus) ainsi que par l’article 24 § 1 de la Charte des droits fondamentaux de l’Union européenne (paragraphe 49 ci-dessus).</w:t>
      </w:r>
    </w:p>
    <w:p w14:paraId="459943EB"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92</w:t>
      </w:r>
      <w:r w:rsidRPr="000061CD">
        <w:rPr>
          <w:lang w:val="fr-FR"/>
        </w:rPr>
        <w:fldChar w:fldCharType="end"/>
      </w:r>
      <w:r w:rsidRPr="000061CD">
        <w:rPr>
          <w:lang w:val="fr-FR"/>
        </w:rPr>
        <w:t>.  Les instruments en question ajoutent que les autorités compétentes administratives ou judiciaires doivent tenir dûment compte de l’opinion exprimée par l’enfant. Ainsi, l’article 13 de la Convention de la Haye prévoit que les autorités peuvent refuser d’ordonner le retour de l’enfant si elles constatent que celui-ci s’oppose à son retour et que, eu égard à son âge et à sa maturité, il est approprié de tenir compte de cette opinion (paragraphe 44 ci-dessus). L’obligation des autorités de prendre dûment en considération les opinions des enfants est réitérée dans la Convention européenne et la Recommandation précitées ainsi que dans l’article 24 § 1 de la Charte des droits fondamentaux précitée.</w:t>
      </w:r>
    </w:p>
    <w:p w14:paraId="23CF5E66" w14:textId="77777777" w:rsidR="004E113F" w:rsidRPr="000061CD" w:rsidRDefault="004E113F" w:rsidP="004E113F">
      <w:pPr>
        <w:pStyle w:val="ECHRPara"/>
        <w:rPr>
          <w:lang w:val="fr-FR"/>
        </w:rPr>
      </w:pPr>
      <w:r w:rsidRPr="000061CD">
        <w:rPr>
          <w:lang w:val="fr-FR"/>
        </w:rPr>
        <w:fldChar w:fldCharType="begin"/>
      </w:r>
      <w:r w:rsidRPr="000061CD">
        <w:rPr>
          <w:lang w:val="fr-FR"/>
        </w:rPr>
        <w:instrText xml:space="preserve"> SEQ level0 \*arabic </w:instrText>
      </w:r>
      <w:r w:rsidRPr="000061CD">
        <w:rPr>
          <w:lang w:val="fr-FR"/>
        </w:rPr>
        <w:fldChar w:fldCharType="separate"/>
      </w:r>
      <w:r w:rsidRPr="000061CD">
        <w:rPr>
          <w:noProof/>
          <w:lang w:val="fr-FR"/>
        </w:rPr>
        <w:t>93</w:t>
      </w:r>
      <w:r w:rsidRPr="000061CD">
        <w:rPr>
          <w:lang w:val="fr-FR"/>
        </w:rPr>
        <w:fldChar w:fldCharType="end"/>
      </w:r>
      <w:r w:rsidRPr="000061CD">
        <w:rPr>
          <w:lang w:val="fr-FR"/>
        </w:rPr>
        <w:t>.  Eu égard à ce qui précède et à la marge d’appréciation dont dispose l’État défendeur en la matière, la Cour conclut que les autorités grecques ont pris les mesures que l’on pouvait raisonnablement exiger d’elles pour se conformer à leurs obligations positives découlant de l’article 8 de la Convention. Partant il n’y a pas eu violation de cette disposition.</w:t>
      </w:r>
    </w:p>
    <w:p w14:paraId="6565223B" w14:textId="77777777" w:rsidR="004E113F" w:rsidRPr="000061CD" w:rsidRDefault="004E113F" w:rsidP="004E113F">
      <w:pPr>
        <w:pStyle w:val="ECHRTitle1"/>
        <w:spacing w:before="0"/>
        <w:rPr>
          <w:lang w:val="fr-FR"/>
        </w:rPr>
      </w:pPr>
      <w:r w:rsidRPr="000061CD">
        <w:rPr>
          <w:lang w:val="fr-FR"/>
        </w:rPr>
        <w:t>PAR CES MOTIFS, LA COUR</w:t>
      </w:r>
    </w:p>
    <w:p w14:paraId="73DF0D98" w14:textId="77777777" w:rsidR="004E113F" w:rsidRPr="000061CD" w:rsidRDefault="004E113F" w:rsidP="004E113F">
      <w:pPr>
        <w:pStyle w:val="JuList"/>
        <w:rPr>
          <w:lang w:val="fr-FR"/>
        </w:rPr>
      </w:pPr>
      <w:r w:rsidRPr="000061CD">
        <w:rPr>
          <w:lang w:val="fr-FR"/>
        </w:rPr>
        <w:t>1.  </w:t>
      </w:r>
      <w:r w:rsidRPr="000061CD">
        <w:rPr>
          <w:i/>
          <w:lang w:val="fr-FR"/>
        </w:rPr>
        <w:t>Déclare</w:t>
      </w:r>
      <w:r w:rsidRPr="000061CD">
        <w:rPr>
          <w:lang w:val="fr-FR"/>
        </w:rPr>
        <w:t>, à l’unanimité, la requête recevable ;</w:t>
      </w:r>
    </w:p>
    <w:p w14:paraId="4F196A18" w14:textId="77777777" w:rsidR="004E113F" w:rsidRPr="000061CD" w:rsidRDefault="004E113F" w:rsidP="004E113F">
      <w:pPr>
        <w:pStyle w:val="JuList"/>
        <w:jc w:val="center"/>
        <w:rPr>
          <w:lang w:val="fr-FR"/>
        </w:rPr>
      </w:pPr>
    </w:p>
    <w:p w14:paraId="1D07E786" w14:textId="77777777" w:rsidR="004E113F" w:rsidRPr="000061CD" w:rsidRDefault="004E113F" w:rsidP="004E113F">
      <w:pPr>
        <w:pStyle w:val="JuList"/>
        <w:rPr>
          <w:lang w:val="fr-FR"/>
        </w:rPr>
      </w:pPr>
      <w:r w:rsidRPr="000061CD">
        <w:rPr>
          <w:lang w:val="fr-FR"/>
        </w:rPr>
        <w:t>2.  </w:t>
      </w:r>
      <w:r w:rsidRPr="000061CD">
        <w:rPr>
          <w:i/>
          <w:lang w:val="fr-FR"/>
        </w:rPr>
        <w:t>Dit</w:t>
      </w:r>
      <w:r w:rsidRPr="000061CD">
        <w:rPr>
          <w:lang w:val="fr-FR"/>
        </w:rPr>
        <w:t>, par cinq voix contre deux, qu’il n’y a pas eu violation de l’article 8 de la Convention.</w:t>
      </w:r>
    </w:p>
    <w:p w14:paraId="5349BA1F" w14:textId="77777777" w:rsidR="004E113F" w:rsidRPr="00881717" w:rsidRDefault="004E113F" w:rsidP="004E113F">
      <w:pPr>
        <w:rPr>
          <w:rFonts w:ascii="Times New Roman" w:hAnsi="Times New Roman" w:cs="Times New Roman"/>
          <w:sz w:val="24"/>
          <w:szCs w:val="24"/>
        </w:rPr>
      </w:pPr>
    </w:p>
    <w:p w14:paraId="6B11ECAC" w14:textId="2F844CE0" w:rsidR="004E113F" w:rsidRDefault="004E113F">
      <w:pPr>
        <w:rPr>
          <w:rFonts w:ascii="Times New Roman" w:hAnsi="Times New Roman" w:cs="Times New Roman"/>
          <w:sz w:val="24"/>
          <w:szCs w:val="24"/>
        </w:rPr>
      </w:pPr>
      <w:r>
        <w:rPr>
          <w:rFonts w:ascii="Times New Roman" w:hAnsi="Times New Roman" w:cs="Times New Roman"/>
          <w:sz w:val="24"/>
          <w:szCs w:val="24"/>
        </w:rPr>
        <w:br w:type="page"/>
      </w:r>
    </w:p>
    <w:p w14:paraId="34AFD7E9" w14:textId="77777777" w:rsidR="005A133A" w:rsidRPr="00DD3495" w:rsidRDefault="005A133A" w:rsidP="005A133A">
      <w:pPr>
        <w:jc w:val="center"/>
        <w:rPr>
          <w:rFonts w:ascii="Times New Roman" w:hAnsi="Times New Roman" w:cs="Times New Roman"/>
          <w:b/>
          <w:bCs/>
          <w:sz w:val="24"/>
          <w:szCs w:val="24"/>
        </w:rPr>
      </w:pPr>
      <w:r w:rsidRPr="00DD3495">
        <w:rPr>
          <w:rFonts w:ascii="Times New Roman" w:hAnsi="Times New Roman" w:cs="Times New Roman"/>
          <w:b/>
          <w:bCs/>
          <w:sz w:val="24"/>
          <w:szCs w:val="24"/>
        </w:rPr>
        <w:t>Droit européen des droits de l’homme</w:t>
      </w:r>
    </w:p>
    <w:p w14:paraId="01860439" w14:textId="193DC56E" w:rsidR="00DD3495" w:rsidRDefault="005A133A" w:rsidP="005A133A">
      <w:pPr>
        <w:jc w:val="center"/>
        <w:rPr>
          <w:rFonts w:ascii="Times New Roman" w:hAnsi="Times New Roman" w:cs="Times New Roman"/>
          <w:b/>
          <w:bCs/>
          <w:sz w:val="24"/>
          <w:szCs w:val="24"/>
        </w:rPr>
      </w:pPr>
      <w:r w:rsidRPr="00DD3495">
        <w:rPr>
          <w:rFonts w:ascii="Times New Roman" w:hAnsi="Times New Roman" w:cs="Times New Roman"/>
          <w:b/>
          <w:bCs/>
          <w:sz w:val="24"/>
          <w:szCs w:val="24"/>
        </w:rPr>
        <w:t xml:space="preserve">Séance </w:t>
      </w:r>
      <w:r>
        <w:rPr>
          <w:rFonts w:ascii="Times New Roman" w:hAnsi="Times New Roman" w:cs="Times New Roman"/>
          <w:b/>
          <w:bCs/>
          <w:sz w:val="24"/>
          <w:szCs w:val="24"/>
        </w:rPr>
        <w:t>8</w:t>
      </w:r>
      <w:r w:rsidRPr="00DD3495">
        <w:rPr>
          <w:rFonts w:ascii="Times New Roman" w:hAnsi="Times New Roman" w:cs="Times New Roman"/>
          <w:b/>
          <w:bCs/>
          <w:sz w:val="24"/>
          <w:szCs w:val="24"/>
        </w:rPr>
        <w:t xml:space="preserve"> : La </w:t>
      </w:r>
      <w:r>
        <w:rPr>
          <w:rFonts w:ascii="Times New Roman" w:hAnsi="Times New Roman" w:cs="Times New Roman"/>
          <w:b/>
          <w:bCs/>
          <w:sz w:val="24"/>
          <w:szCs w:val="24"/>
        </w:rPr>
        <w:t>liberté sexuelle</w:t>
      </w:r>
    </w:p>
    <w:p w14:paraId="333E7E4E" w14:textId="77777777" w:rsidR="005A133A" w:rsidRDefault="005A133A" w:rsidP="005A133A">
      <w:pPr>
        <w:jc w:val="center"/>
        <w:rPr>
          <w:rFonts w:ascii="Times New Roman" w:hAnsi="Times New Roman" w:cs="Times New Roman"/>
          <w:b/>
          <w:bCs/>
          <w:sz w:val="24"/>
          <w:szCs w:val="24"/>
        </w:rPr>
      </w:pPr>
    </w:p>
    <w:p w14:paraId="774EAE80" w14:textId="64FAA6FB" w:rsidR="005A133A" w:rsidRDefault="005A7445" w:rsidP="006B1D1D">
      <w:pPr>
        <w:rPr>
          <w:rFonts w:ascii="Times New Roman" w:hAnsi="Times New Roman" w:cs="Times New Roman"/>
          <w:sz w:val="24"/>
          <w:szCs w:val="24"/>
        </w:rPr>
      </w:pPr>
      <w:r>
        <w:rPr>
          <w:rFonts w:ascii="Times New Roman" w:hAnsi="Times New Roman" w:cs="Times New Roman"/>
          <w:b/>
          <w:bCs/>
          <w:sz w:val="24"/>
          <w:szCs w:val="24"/>
        </w:rPr>
        <w:t xml:space="preserve">Dissertation : </w:t>
      </w:r>
      <w:r w:rsidRPr="005A7445">
        <w:rPr>
          <w:rFonts w:ascii="Times New Roman" w:hAnsi="Times New Roman" w:cs="Times New Roman"/>
          <w:sz w:val="24"/>
          <w:szCs w:val="24"/>
        </w:rPr>
        <w:t>L</w:t>
      </w:r>
      <w:r w:rsidR="00F81C36">
        <w:rPr>
          <w:rFonts w:ascii="Times New Roman" w:hAnsi="Times New Roman" w:cs="Times New Roman"/>
          <w:sz w:val="24"/>
          <w:szCs w:val="24"/>
        </w:rPr>
        <w:t xml:space="preserve">a reconnaissance </w:t>
      </w:r>
      <w:r w:rsidR="006B1D1D">
        <w:rPr>
          <w:rFonts w:ascii="Times New Roman" w:hAnsi="Times New Roman" w:cs="Times New Roman"/>
          <w:sz w:val="24"/>
          <w:szCs w:val="24"/>
        </w:rPr>
        <w:t xml:space="preserve">limitée </w:t>
      </w:r>
      <w:r w:rsidR="00F81C36">
        <w:rPr>
          <w:rFonts w:ascii="Times New Roman" w:hAnsi="Times New Roman" w:cs="Times New Roman"/>
          <w:sz w:val="24"/>
          <w:szCs w:val="24"/>
        </w:rPr>
        <w:t>du</w:t>
      </w:r>
      <w:r w:rsidRPr="005A7445">
        <w:rPr>
          <w:rFonts w:ascii="Times New Roman" w:hAnsi="Times New Roman" w:cs="Times New Roman"/>
          <w:sz w:val="24"/>
          <w:szCs w:val="24"/>
        </w:rPr>
        <w:t xml:space="preserve"> couple de même sexe </w:t>
      </w:r>
      <w:r w:rsidR="00F81C36">
        <w:rPr>
          <w:rFonts w:ascii="Times New Roman" w:hAnsi="Times New Roman" w:cs="Times New Roman"/>
          <w:sz w:val="24"/>
          <w:szCs w:val="24"/>
        </w:rPr>
        <w:t>par</w:t>
      </w:r>
      <w:r w:rsidRPr="005A7445">
        <w:rPr>
          <w:rFonts w:ascii="Times New Roman" w:hAnsi="Times New Roman" w:cs="Times New Roman"/>
          <w:sz w:val="24"/>
          <w:szCs w:val="24"/>
        </w:rPr>
        <w:t xml:space="preserve"> la Cour européenne des droits de l’homme</w:t>
      </w:r>
      <w:r w:rsidR="00F81C36">
        <w:rPr>
          <w:rFonts w:ascii="Times New Roman" w:hAnsi="Times New Roman" w:cs="Times New Roman"/>
          <w:sz w:val="24"/>
          <w:szCs w:val="24"/>
        </w:rPr>
        <w:t xml:space="preserve"> </w:t>
      </w:r>
    </w:p>
    <w:p w14:paraId="21BFBF49" w14:textId="541A0978" w:rsidR="006B1D1D" w:rsidRDefault="006B1D1D">
      <w:pPr>
        <w:rPr>
          <w:rFonts w:ascii="Times New Roman" w:hAnsi="Times New Roman" w:cs="Times New Roman"/>
          <w:sz w:val="24"/>
          <w:szCs w:val="24"/>
        </w:rPr>
      </w:pPr>
      <w:r>
        <w:rPr>
          <w:rFonts w:ascii="Times New Roman" w:hAnsi="Times New Roman" w:cs="Times New Roman"/>
          <w:sz w:val="24"/>
          <w:szCs w:val="24"/>
        </w:rPr>
        <w:br w:type="page"/>
      </w:r>
    </w:p>
    <w:p w14:paraId="7FC2F47A" w14:textId="77777777" w:rsidR="006B1D1D" w:rsidRPr="00DD3495" w:rsidRDefault="006B1D1D" w:rsidP="006B1D1D">
      <w:pPr>
        <w:jc w:val="center"/>
        <w:rPr>
          <w:rFonts w:ascii="Times New Roman" w:hAnsi="Times New Roman" w:cs="Times New Roman"/>
          <w:b/>
          <w:bCs/>
          <w:sz w:val="24"/>
          <w:szCs w:val="24"/>
        </w:rPr>
      </w:pPr>
      <w:r w:rsidRPr="00DD3495">
        <w:rPr>
          <w:rFonts w:ascii="Times New Roman" w:hAnsi="Times New Roman" w:cs="Times New Roman"/>
          <w:b/>
          <w:bCs/>
          <w:sz w:val="24"/>
          <w:szCs w:val="24"/>
        </w:rPr>
        <w:t>Droit européen des droits de l’homme</w:t>
      </w:r>
    </w:p>
    <w:p w14:paraId="7529ED45" w14:textId="796AB1E3" w:rsidR="006B1D1D" w:rsidRDefault="006B1D1D" w:rsidP="006B1D1D">
      <w:pPr>
        <w:jc w:val="center"/>
        <w:rPr>
          <w:rFonts w:ascii="Times New Roman" w:hAnsi="Times New Roman" w:cs="Times New Roman"/>
          <w:b/>
          <w:bCs/>
          <w:sz w:val="24"/>
          <w:szCs w:val="24"/>
        </w:rPr>
      </w:pPr>
      <w:r w:rsidRPr="00DD3495">
        <w:rPr>
          <w:rFonts w:ascii="Times New Roman" w:hAnsi="Times New Roman" w:cs="Times New Roman"/>
          <w:b/>
          <w:bCs/>
          <w:sz w:val="24"/>
          <w:szCs w:val="24"/>
        </w:rPr>
        <w:t xml:space="preserve">Séance </w:t>
      </w:r>
      <w:r>
        <w:rPr>
          <w:rFonts w:ascii="Times New Roman" w:hAnsi="Times New Roman" w:cs="Times New Roman"/>
          <w:b/>
          <w:bCs/>
          <w:sz w:val="24"/>
          <w:szCs w:val="24"/>
        </w:rPr>
        <w:t>9</w:t>
      </w:r>
      <w:r w:rsidRPr="00DD3495">
        <w:rPr>
          <w:rFonts w:ascii="Times New Roman" w:hAnsi="Times New Roman" w:cs="Times New Roman"/>
          <w:b/>
          <w:bCs/>
          <w:sz w:val="24"/>
          <w:szCs w:val="24"/>
        </w:rPr>
        <w:t xml:space="preserve"> : </w:t>
      </w:r>
      <w:r>
        <w:rPr>
          <w:rFonts w:ascii="Times New Roman" w:hAnsi="Times New Roman" w:cs="Times New Roman"/>
          <w:b/>
          <w:bCs/>
          <w:sz w:val="24"/>
          <w:szCs w:val="24"/>
        </w:rPr>
        <w:t>Le droit au respect de la vie familiale (1)</w:t>
      </w:r>
    </w:p>
    <w:p w14:paraId="5A509EEC" w14:textId="77777777" w:rsidR="00775604" w:rsidRDefault="00775604" w:rsidP="006B1D1D">
      <w:pPr>
        <w:jc w:val="center"/>
        <w:rPr>
          <w:rFonts w:ascii="Times New Roman" w:hAnsi="Times New Roman" w:cs="Times New Roman"/>
          <w:b/>
          <w:bCs/>
          <w:sz w:val="24"/>
          <w:szCs w:val="24"/>
        </w:rPr>
      </w:pPr>
    </w:p>
    <w:p w14:paraId="56643DE5" w14:textId="0ED0F5A2" w:rsidR="00DA7A71" w:rsidRDefault="00775604" w:rsidP="002F0F04">
      <w:pPr>
        <w:jc w:val="both"/>
        <w:rPr>
          <w:rFonts w:ascii="Times New Roman" w:hAnsi="Times New Roman" w:cs="Times New Roman"/>
          <w:sz w:val="24"/>
          <w:szCs w:val="24"/>
        </w:rPr>
      </w:pPr>
      <w:r w:rsidRPr="002F0F04">
        <w:rPr>
          <w:rFonts w:ascii="Times New Roman" w:hAnsi="Times New Roman" w:cs="Times New Roman"/>
          <w:sz w:val="24"/>
          <w:szCs w:val="24"/>
        </w:rPr>
        <w:t xml:space="preserve">A partir de l’article </w:t>
      </w:r>
      <w:r w:rsidR="002F0F04" w:rsidRPr="002F0F04">
        <w:rPr>
          <w:rFonts w:ascii="Times New Roman" w:hAnsi="Times New Roman" w:cs="Times New Roman"/>
          <w:sz w:val="24"/>
          <w:szCs w:val="24"/>
        </w:rPr>
        <w:t>« La famille dans la Convention européenne des droits de l’homme : retour sur 70 ans de jurisprudence » (Moodle) et vos recherches personne</w:t>
      </w:r>
      <w:r w:rsidR="002F0F04">
        <w:rPr>
          <w:rFonts w:ascii="Times New Roman" w:hAnsi="Times New Roman" w:cs="Times New Roman"/>
          <w:sz w:val="24"/>
          <w:szCs w:val="24"/>
        </w:rPr>
        <w:t>lle</w:t>
      </w:r>
      <w:r w:rsidR="002F0F04" w:rsidRPr="002F0F04">
        <w:rPr>
          <w:rFonts w:ascii="Times New Roman" w:hAnsi="Times New Roman" w:cs="Times New Roman"/>
          <w:sz w:val="24"/>
          <w:szCs w:val="24"/>
        </w:rPr>
        <w:t xml:space="preserve">s présentez </w:t>
      </w:r>
      <w:r w:rsidR="00E865D0">
        <w:rPr>
          <w:rFonts w:ascii="Times New Roman" w:hAnsi="Times New Roman" w:cs="Times New Roman"/>
          <w:sz w:val="24"/>
          <w:szCs w:val="24"/>
        </w:rPr>
        <w:t>sous forme d’une</w:t>
      </w:r>
      <w:r w:rsidR="002F0F04" w:rsidRPr="002F0F04">
        <w:rPr>
          <w:rFonts w:ascii="Times New Roman" w:hAnsi="Times New Roman" w:cs="Times New Roman"/>
          <w:sz w:val="24"/>
          <w:szCs w:val="24"/>
        </w:rPr>
        <w:t xml:space="preserve"> capsule (orale avec un support écrit type infographie)</w:t>
      </w:r>
      <w:r w:rsidR="002F0F04">
        <w:rPr>
          <w:rFonts w:ascii="Times New Roman" w:hAnsi="Times New Roman" w:cs="Times New Roman"/>
          <w:sz w:val="24"/>
          <w:szCs w:val="24"/>
        </w:rPr>
        <w:t xml:space="preserve"> de 5 minutes en groupe de </w:t>
      </w:r>
      <w:r w:rsidR="00E865D0">
        <w:rPr>
          <w:rFonts w:ascii="Times New Roman" w:hAnsi="Times New Roman" w:cs="Times New Roman"/>
          <w:sz w:val="24"/>
          <w:szCs w:val="24"/>
        </w:rPr>
        <w:t xml:space="preserve">3 </w:t>
      </w:r>
      <w:r w:rsidR="00760E8D">
        <w:rPr>
          <w:rFonts w:ascii="Times New Roman" w:hAnsi="Times New Roman" w:cs="Times New Roman"/>
          <w:sz w:val="24"/>
          <w:szCs w:val="24"/>
        </w:rPr>
        <w:t>étudiants</w:t>
      </w:r>
      <w:r w:rsidR="00E865D0">
        <w:rPr>
          <w:rFonts w:ascii="Times New Roman" w:hAnsi="Times New Roman" w:cs="Times New Roman"/>
          <w:sz w:val="24"/>
          <w:szCs w:val="24"/>
        </w:rPr>
        <w:t xml:space="preserve"> l’une des évolutions de la jurisprudence européenne en matière familiale</w:t>
      </w:r>
      <w:r w:rsidR="00DA7A71">
        <w:rPr>
          <w:rFonts w:ascii="Times New Roman" w:hAnsi="Times New Roman" w:cs="Times New Roman"/>
          <w:sz w:val="24"/>
          <w:szCs w:val="24"/>
        </w:rPr>
        <w:t xml:space="preserve">. </w:t>
      </w:r>
    </w:p>
    <w:p w14:paraId="637AE940" w14:textId="77777777" w:rsidR="00760E8D" w:rsidRPr="00DD3495" w:rsidRDefault="00DA7A71" w:rsidP="00760E8D">
      <w:pPr>
        <w:jc w:val="center"/>
        <w:rPr>
          <w:rFonts w:ascii="Times New Roman" w:hAnsi="Times New Roman" w:cs="Times New Roman"/>
          <w:b/>
          <w:bCs/>
          <w:sz w:val="24"/>
          <w:szCs w:val="24"/>
        </w:rPr>
      </w:pPr>
      <w:r>
        <w:rPr>
          <w:rFonts w:ascii="Times New Roman" w:hAnsi="Times New Roman" w:cs="Times New Roman"/>
          <w:sz w:val="24"/>
          <w:szCs w:val="24"/>
        </w:rPr>
        <w:t xml:space="preserve">Inscrivez le thème et les membres du groupe dans le tableau </w:t>
      </w:r>
      <w:r w:rsidR="00903030">
        <w:rPr>
          <w:rFonts w:ascii="Times New Roman" w:hAnsi="Times New Roman" w:cs="Times New Roman"/>
          <w:sz w:val="24"/>
          <w:szCs w:val="24"/>
        </w:rPr>
        <w:t>****, 15 jours avant la séance</w:t>
      </w:r>
      <w:r w:rsidR="006B1D1D" w:rsidRPr="002F0F04">
        <w:rPr>
          <w:rFonts w:ascii="Times New Roman" w:hAnsi="Times New Roman" w:cs="Times New Roman"/>
          <w:b/>
          <w:bCs/>
          <w:sz w:val="24"/>
          <w:szCs w:val="24"/>
        </w:rPr>
        <w:br w:type="page"/>
      </w:r>
      <w:r w:rsidR="00760E8D">
        <w:rPr>
          <w:rFonts w:ascii="Times New Roman" w:hAnsi="Times New Roman" w:cs="Times New Roman"/>
          <w:b/>
          <w:bCs/>
          <w:sz w:val="24"/>
          <w:szCs w:val="24"/>
        </w:rPr>
        <w:br w:type="page"/>
      </w:r>
      <w:r w:rsidR="00760E8D" w:rsidRPr="00DD3495">
        <w:rPr>
          <w:rFonts w:ascii="Times New Roman" w:hAnsi="Times New Roman" w:cs="Times New Roman"/>
          <w:b/>
          <w:bCs/>
          <w:sz w:val="24"/>
          <w:szCs w:val="24"/>
        </w:rPr>
        <w:t>Droit européen des droits de l’homme</w:t>
      </w:r>
    </w:p>
    <w:p w14:paraId="7D5318A2" w14:textId="5B54B8D4" w:rsidR="00760E8D" w:rsidRDefault="00760E8D" w:rsidP="00760E8D">
      <w:pPr>
        <w:jc w:val="center"/>
        <w:rPr>
          <w:rFonts w:ascii="Times New Roman" w:hAnsi="Times New Roman" w:cs="Times New Roman"/>
          <w:b/>
          <w:bCs/>
          <w:sz w:val="24"/>
          <w:szCs w:val="24"/>
        </w:rPr>
      </w:pPr>
      <w:r w:rsidRPr="00DD3495">
        <w:rPr>
          <w:rFonts w:ascii="Times New Roman" w:hAnsi="Times New Roman" w:cs="Times New Roman"/>
          <w:b/>
          <w:bCs/>
          <w:sz w:val="24"/>
          <w:szCs w:val="24"/>
        </w:rPr>
        <w:t xml:space="preserve">Séance </w:t>
      </w:r>
      <w:r>
        <w:rPr>
          <w:rFonts w:ascii="Times New Roman" w:hAnsi="Times New Roman" w:cs="Times New Roman"/>
          <w:b/>
          <w:bCs/>
          <w:sz w:val="24"/>
          <w:szCs w:val="24"/>
        </w:rPr>
        <w:t>10</w:t>
      </w:r>
      <w:r w:rsidRPr="00DD3495">
        <w:rPr>
          <w:rFonts w:ascii="Times New Roman" w:hAnsi="Times New Roman" w:cs="Times New Roman"/>
          <w:b/>
          <w:bCs/>
          <w:sz w:val="24"/>
          <w:szCs w:val="24"/>
        </w:rPr>
        <w:t xml:space="preserve"> : </w:t>
      </w:r>
      <w:r>
        <w:rPr>
          <w:rFonts w:ascii="Times New Roman" w:hAnsi="Times New Roman" w:cs="Times New Roman"/>
          <w:b/>
          <w:bCs/>
          <w:sz w:val="24"/>
          <w:szCs w:val="24"/>
        </w:rPr>
        <w:t>Le droit au respect de la vie familiale (1)</w:t>
      </w:r>
    </w:p>
    <w:p w14:paraId="05EA120B" w14:textId="77E4FDA1" w:rsidR="00760E8D" w:rsidRDefault="00760E8D">
      <w:pPr>
        <w:rPr>
          <w:rFonts w:ascii="Times New Roman" w:hAnsi="Times New Roman" w:cs="Times New Roman"/>
          <w:b/>
          <w:bCs/>
          <w:sz w:val="24"/>
          <w:szCs w:val="24"/>
        </w:rPr>
      </w:pPr>
    </w:p>
    <w:p w14:paraId="5676BB68" w14:textId="77777777" w:rsidR="006B1D1D" w:rsidRPr="002F0F04" w:rsidRDefault="006B1D1D" w:rsidP="002F0F04">
      <w:pPr>
        <w:jc w:val="both"/>
        <w:rPr>
          <w:rFonts w:ascii="Times New Roman" w:hAnsi="Times New Roman" w:cs="Times New Roman"/>
          <w:b/>
          <w:bCs/>
          <w:sz w:val="24"/>
          <w:szCs w:val="24"/>
        </w:rPr>
      </w:pPr>
    </w:p>
    <w:p w14:paraId="65A43B59" w14:textId="77777777" w:rsidR="006B1D1D" w:rsidRPr="00DD3495" w:rsidRDefault="006B1D1D" w:rsidP="006B1D1D">
      <w:pPr>
        <w:jc w:val="center"/>
        <w:rPr>
          <w:rFonts w:ascii="Times New Roman" w:hAnsi="Times New Roman" w:cs="Times New Roman"/>
          <w:b/>
          <w:bCs/>
          <w:sz w:val="24"/>
          <w:szCs w:val="24"/>
        </w:rPr>
      </w:pPr>
      <w:r w:rsidRPr="00DD3495">
        <w:rPr>
          <w:rFonts w:ascii="Times New Roman" w:hAnsi="Times New Roman" w:cs="Times New Roman"/>
          <w:b/>
          <w:bCs/>
          <w:sz w:val="24"/>
          <w:szCs w:val="24"/>
        </w:rPr>
        <w:t>Droit européen des droits de l’homme</w:t>
      </w:r>
    </w:p>
    <w:p w14:paraId="6885A7DC" w14:textId="1CC7FF98" w:rsidR="006B1D1D" w:rsidRDefault="006B1D1D" w:rsidP="006B1D1D">
      <w:pPr>
        <w:jc w:val="center"/>
        <w:rPr>
          <w:rFonts w:ascii="Times New Roman" w:hAnsi="Times New Roman" w:cs="Times New Roman"/>
          <w:b/>
          <w:bCs/>
          <w:sz w:val="24"/>
          <w:szCs w:val="24"/>
        </w:rPr>
      </w:pPr>
      <w:r w:rsidRPr="00DD3495">
        <w:rPr>
          <w:rFonts w:ascii="Times New Roman" w:hAnsi="Times New Roman" w:cs="Times New Roman"/>
          <w:b/>
          <w:bCs/>
          <w:sz w:val="24"/>
          <w:szCs w:val="24"/>
        </w:rPr>
        <w:t xml:space="preserve">Séance </w:t>
      </w:r>
      <w:r>
        <w:rPr>
          <w:rFonts w:ascii="Times New Roman" w:hAnsi="Times New Roman" w:cs="Times New Roman"/>
          <w:b/>
          <w:bCs/>
          <w:sz w:val="24"/>
          <w:szCs w:val="24"/>
        </w:rPr>
        <w:t>10</w:t>
      </w:r>
      <w:r w:rsidRPr="00DD3495">
        <w:rPr>
          <w:rFonts w:ascii="Times New Roman" w:hAnsi="Times New Roman" w:cs="Times New Roman"/>
          <w:b/>
          <w:bCs/>
          <w:sz w:val="24"/>
          <w:szCs w:val="24"/>
        </w:rPr>
        <w:t xml:space="preserve"> : </w:t>
      </w:r>
      <w:r>
        <w:rPr>
          <w:rFonts w:ascii="Times New Roman" w:hAnsi="Times New Roman" w:cs="Times New Roman"/>
          <w:b/>
          <w:bCs/>
          <w:sz w:val="24"/>
          <w:szCs w:val="24"/>
        </w:rPr>
        <w:t>Le droit au respect de la vie familiale (2)</w:t>
      </w:r>
    </w:p>
    <w:p w14:paraId="532C4D74" w14:textId="77777777" w:rsidR="006B1D1D" w:rsidRDefault="006B1D1D" w:rsidP="006B1D1D">
      <w:pPr>
        <w:rPr>
          <w:rFonts w:ascii="Times New Roman" w:hAnsi="Times New Roman" w:cs="Times New Roman"/>
          <w:sz w:val="24"/>
          <w:szCs w:val="24"/>
        </w:rPr>
      </w:pPr>
    </w:p>
    <w:p w14:paraId="004B4EAD" w14:textId="5DE6D30B" w:rsidR="006B1D1D" w:rsidRDefault="00760E8D" w:rsidP="006B1D1D">
      <w:pPr>
        <w:rPr>
          <w:rFonts w:ascii="Times New Roman" w:hAnsi="Times New Roman" w:cs="Times New Roman"/>
          <w:sz w:val="24"/>
          <w:szCs w:val="24"/>
        </w:rPr>
      </w:pPr>
      <w:r>
        <w:rPr>
          <w:rFonts w:ascii="Times New Roman" w:hAnsi="Times New Roman" w:cs="Times New Roman"/>
          <w:sz w:val="24"/>
          <w:szCs w:val="24"/>
        </w:rPr>
        <w:t>Commentez l’arrêt G.M. c/ France du 9 décembre 2021 en l’insérant dans la jurisprudence de la Cour européenne des droits de l’homme sur la prise en charge de l’enfant par l’autorité publique</w:t>
      </w:r>
    </w:p>
    <w:p w14:paraId="3E7794BC" w14:textId="77777777" w:rsidR="00760E8D" w:rsidRPr="006F7966" w:rsidRDefault="00760E8D" w:rsidP="00760E8D">
      <w:pPr>
        <w:pStyle w:val="JuCase"/>
      </w:pPr>
      <w:r w:rsidRPr="006F7966">
        <w:t>En l’affaire G.M. c. France,</w:t>
      </w:r>
    </w:p>
    <w:p w14:paraId="70905A5C" w14:textId="77777777" w:rsidR="00760E8D" w:rsidRPr="006F7966" w:rsidRDefault="00760E8D" w:rsidP="00760E8D">
      <w:pPr>
        <w:pStyle w:val="ECHRTitle1"/>
        <w:numPr>
          <w:ilvl w:val="0"/>
          <w:numId w:val="2"/>
        </w:numPr>
        <w:spacing w:before="100" w:beforeAutospacing="1"/>
      </w:pPr>
      <w:bookmarkStart w:id="1" w:name="_Hlk36127250"/>
      <w:r w:rsidRPr="006F7966">
        <w:t>EN DROIT</w:t>
      </w:r>
    </w:p>
    <w:p w14:paraId="6CE769F0" w14:textId="77777777" w:rsidR="00760E8D" w:rsidRPr="006F7966" w:rsidRDefault="00760E8D" w:rsidP="00760E8D">
      <w:pPr>
        <w:pStyle w:val="JuHIRoman"/>
        <w:ind w:firstLine="0"/>
      </w:pPr>
      <w:bookmarkStart w:id="2" w:name="_Hlk36127423"/>
      <w:bookmarkStart w:id="3" w:name="_Hlk34839031"/>
      <w:bookmarkEnd w:id="1"/>
      <w:r w:rsidRPr="006F7966">
        <w:t>SUR LA VIOLATION ALLÉGUÉE DE L’ARTICLE 8 DE LA CONVENTION</w:t>
      </w:r>
      <w:bookmarkEnd w:id="2"/>
    </w:p>
    <w:p w14:paraId="04D81966" w14:textId="77777777" w:rsidR="00760E8D" w:rsidRPr="006F7966" w:rsidRDefault="00760E8D" w:rsidP="00760E8D">
      <w:pPr>
        <w:pStyle w:val="ECHRPara"/>
      </w:pPr>
      <w:r w:rsidRPr="006F7966">
        <w:fldChar w:fldCharType="begin"/>
      </w:r>
      <w:r w:rsidRPr="006F7966">
        <w:instrText xml:space="preserve"> SEQ level0 \*arabic </w:instrText>
      </w:r>
      <w:r w:rsidRPr="006F7966">
        <w:fldChar w:fldCharType="separate"/>
      </w:r>
      <w:r w:rsidRPr="006F7966">
        <w:rPr>
          <w:noProof/>
        </w:rPr>
        <w:t>40</w:t>
      </w:r>
      <w:r w:rsidRPr="006F7966">
        <w:fldChar w:fldCharType="end"/>
      </w:r>
      <w:r w:rsidRPr="006F7966">
        <w:t xml:space="preserve">.  La </w:t>
      </w:r>
      <w:proofErr w:type="spellStart"/>
      <w:r w:rsidRPr="006F7966">
        <w:t>requérante</w:t>
      </w:r>
      <w:proofErr w:type="spellEnd"/>
      <w:r w:rsidRPr="006F7966">
        <w:t xml:space="preserve"> </w:t>
      </w:r>
      <w:bookmarkStart w:id="4" w:name="_Hlk36127488"/>
      <w:proofErr w:type="spellStart"/>
      <w:r w:rsidRPr="006F7966">
        <w:t>soutient</w:t>
      </w:r>
      <w:proofErr w:type="spellEnd"/>
      <w:r w:rsidRPr="006F7966">
        <w:t xml:space="preserve"> que le placement de son enfant et la limitation de </w:t>
      </w:r>
      <w:proofErr w:type="spellStart"/>
      <w:r w:rsidRPr="006F7966">
        <w:t>ses</w:t>
      </w:r>
      <w:proofErr w:type="spellEnd"/>
      <w:r w:rsidRPr="006F7966">
        <w:t xml:space="preserve"> droits de </w:t>
      </w:r>
      <w:proofErr w:type="spellStart"/>
      <w:r w:rsidRPr="006F7966">
        <w:t>visite</w:t>
      </w:r>
      <w:proofErr w:type="spellEnd"/>
      <w:r w:rsidRPr="006F7966">
        <w:t xml:space="preserve"> avec </w:t>
      </w:r>
      <w:proofErr w:type="spellStart"/>
      <w:r w:rsidRPr="006F7966">
        <w:t>lui</w:t>
      </w:r>
      <w:proofErr w:type="spellEnd"/>
      <w:r w:rsidRPr="006F7966">
        <w:t xml:space="preserve"> </w:t>
      </w:r>
      <w:proofErr w:type="spellStart"/>
      <w:r w:rsidRPr="006F7966">
        <w:t>étaient</w:t>
      </w:r>
      <w:proofErr w:type="spellEnd"/>
      <w:r w:rsidRPr="006F7966">
        <w:t xml:space="preserve"> </w:t>
      </w:r>
      <w:proofErr w:type="spellStart"/>
      <w:r w:rsidRPr="006F7966">
        <w:t>contraires</w:t>
      </w:r>
      <w:proofErr w:type="spellEnd"/>
      <w:r w:rsidRPr="006F7966">
        <w:t xml:space="preserve"> à </w:t>
      </w:r>
      <w:proofErr w:type="spellStart"/>
      <w:r w:rsidRPr="006F7966">
        <w:t>l’article</w:t>
      </w:r>
      <w:proofErr w:type="spellEnd"/>
      <w:r w:rsidRPr="006F7966">
        <w:t xml:space="preserve"> 8 de la Convention. Elle fait </w:t>
      </w:r>
      <w:proofErr w:type="spellStart"/>
      <w:r w:rsidRPr="006F7966">
        <w:t>en</w:t>
      </w:r>
      <w:proofErr w:type="spellEnd"/>
      <w:r w:rsidRPr="006F7966">
        <w:t xml:space="preserve"> </w:t>
      </w:r>
      <w:proofErr w:type="spellStart"/>
      <w:r w:rsidRPr="006F7966">
        <w:t>outre</w:t>
      </w:r>
      <w:proofErr w:type="spellEnd"/>
      <w:r w:rsidRPr="006F7966">
        <w:t xml:space="preserve"> </w:t>
      </w:r>
      <w:proofErr w:type="spellStart"/>
      <w:r w:rsidRPr="006F7966">
        <w:t>valoir</w:t>
      </w:r>
      <w:proofErr w:type="spellEnd"/>
      <w:r w:rsidRPr="006F7966">
        <w:t xml:space="preserve"> que les </w:t>
      </w:r>
      <w:proofErr w:type="spellStart"/>
      <w:r w:rsidRPr="006F7966">
        <w:t>autorités</w:t>
      </w:r>
      <w:proofErr w:type="spellEnd"/>
      <w:r w:rsidRPr="006F7966">
        <w:t xml:space="preserve"> </w:t>
      </w:r>
      <w:proofErr w:type="spellStart"/>
      <w:r w:rsidRPr="006F7966">
        <w:t>françaises</w:t>
      </w:r>
      <w:proofErr w:type="spellEnd"/>
      <w:r w:rsidRPr="006F7966">
        <w:t xml:space="preserve"> </w:t>
      </w:r>
      <w:proofErr w:type="spellStart"/>
      <w:r w:rsidRPr="006F7966">
        <w:t>ont</w:t>
      </w:r>
      <w:proofErr w:type="spellEnd"/>
      <w:r w:rsidRPr="006F7966">
        <w:t xml:space="preserve"> manqué à </w:t>
      </w:r>
      <w:proofErr w:type="spellStart"/>
      <w:r w:rsidRPr="006F7966">
        <w:t>leurs</w:t>
      </w:r>
      <w:proofErr w:type="spellEnd"/>
      <w:r w:rsidRPr="006F7966">
        <w:t xml:space="preserve"> obligations positives </w:t>
      </w:r>
      <w:proofErr w:type="spellStart"/>
      <w:r w:rsidRPr="006F7966">
        <w:t>en</w:t>
      </w:r>
      <w:proofErr w:type="spellEnd"/>
      <w:r w:rsidRPr="006F7966">
        <w:t xml:space="preserve"> ne </w:t>
      </w:r>
      <w:proofErr w:type="spellStart"/>
      <w:r w:rsidRPr="006F7966">
        <w:t>prenant</w:t>
      </w:r>
      <w:proofErr w:type="spellEnd"/>
      <w:r w:rsidRPr="006F7966">
        <w:t xml:space="preserve"> pas de </w:t>
      </w:r>
      <w:proofErr w:type="spellStart"/>
      <w:r w:rsidRPr="006F7966">
        <w:t>mesures</w:t>
      </w:r>
      <w:proofErr w:type="spellEnd"/>
      <w:r w:rsidRPr="006F7966">
        <w:t xml:space="preserve"> </w:t>
      </w:r>
      <w:proofErr w:type="spellStart"/>
      <w:r w:rsidRPr="006F7966">
        <w:t>contraignantes</w:t>
      </w:r>
      <w:proofErr w:type="spellEnd"/>
      <w:r w:rsidRPr="006F7966">
        <w:t xml:space="preserve"> pour faire respecter le droit de </w:t>
      </w:r>
      <w:proofErr w:type="spellStart"/>
      <w:r w:rsidRPr="006F7966">
        <w:t>visite</w:t>
      </w:r>
      <w:proofErr w:type="spellEnd"/>
      <w:r w:rsidRPr="006F7966">
        <w:t xml:space="preserve"> non </w:t>
      </w:r>
      <w:proofErr w:type="spellStart"/>
      <w:r w:rsidRPr="006F7966">
        <w:t>médiatisé</w:t>
      </w:r>
      <w:proofErr w:type="spellEnd"/>
      <w:r w:rsidRPr="006F7966">
        <w:t xml:space="preserve"> </w:t>
      </w:r>
      <w:proofErr w:type="spellStart"/>
      <w:r w:rsidRPr="006F7966">
        <w:t>prévu</w:t>
      </w:r>
      <w:proofErr w:type="spellEnd"/>
      <w:r w:rsidRPr="006F7966">
        <w:t xml:space="preserve"> par le </w:t>
      </w:r>
      <w:proofErr w:type="spellStart"/>
      <w:r w:rsidRPr="006F7966">
        <w:t>jugement</w:t>
      </w:r>
      <w:proofErr w:type="spellEnd"/>
      <w:r w:rsidRPr="006F7966">
        <w:t xml:space="preserve"> du 7 mars 2018 (</w:t>
      </w:r>
      <w:proofErr w:type="spellStart"/>
      <w:r w:rsidRPr="006F7966">
        <w:t>paragraphe</w:t>
      </w:r>
      <w:proofErr w:type="spellEnd"/>
      <w:r w:rsidRPr="006F7966">
        <w:t xml:space="preserve"> 19 ci-dessus) et </w:t>
      </w:r>
      <w:proofErr w:type="spellStart"/>
      <w:r w:rsidRPr="006F7966">
        <w:t>mettre</w:t>
      </w:r>
      <w:proofErr w:type="spellEnd"/>
      <w:r w:rsidRPr="006F7966">
        <w:t xml:space="preserve"> </w:t>
      </w:r>
      <w:proofErr w:type="spellStart"/>
      <w:r w:rsidRPr="006F7966">
        <w:t>en</w:t>
      </w:r>
      <w:proofErr w:type="spellEnd"/>
      <w:r w:rsidRPr="006F7966">
        <w:t xml:space="preserve"> </w:t>
      </w:r>
      <w:proofErr w:type="spellStart"/>
      <w:r w:rsidRPr="006F7966">
        <w:t>œuvre</w:t>
      </w:r>
      <w:proofErr w:type="spellEnd"/>
      <w:r w:rsidRPr="006F7966">
        <w:t xml:space="preserve"> avec diligence la MJIE </w:t>
      </w:r>
      <w:proofErr w:type="spellStart"/>
      <w:r w:rsidRPr="006F7966">
        <w:t>ordonnée</w:t>
      </w:r>
      <w:proofErr w:type="spellEnd"/>
      <w:r w:rsidRPr="006F7966">
        <w:t xml:space="preserve"> le 12 </w:t>
      </w:r>
      <w:proofErr w:type="spellStart"/>
      <w:r w:rsidRPr="006F7966">
        <w:t>septembre</w:t>
      </w:r>
      <w:proofErr w:type="spellEnd"/>
      <w:r w:rsidRPr="006F7966">
        <w:t xml:space="preserve"> 2017 (</w:t>
      </w:r>
      <w:proofErr w:type="spellStart"/>
      <w:r w:rsidRPr="006F7966">
        <w:t>paragraphe</w:t>
      </w:r>
      <w:proofErr w:type="spellEnd"/>
      <w:r w:rsidRPr="006F7966">
        <w:t xml:space="preserve"> 13 ci-dessus).</w:t>
      </w:r>
    </w:p>
    <w:p w14:paraId="7152FF3F" w14:textId="77777777" w:rsidR="00760E8D" w:rsidRPr="006F7966" w:rsidRDefault="00760E8D" w:rsidP="00760E8D">
      <w:pPr>
        <w:pStyle w:val="ECHRPara"/>
      </w:pPr>
      <w:bookmarkStart w:id="5" w:name="_Hlk36127508"/>
      <w:bookmarkEnd w:id="4"/>
      <w:r w:rsidRPr="006F7966">
        <w:t xml:space="preserve">Aux </w:t>
      </w:r>
      <w:proofErr w:type="spellStart"/>
      <w:r w:rsidRPr="006F7966">
        <w:t>termes</w:t>
      </w:r>
      <w:proofErr w:type="spellEnd"/>
      <w:r w:rsidRPr="006F7966">
        <w:t xml:space="preserve"> de </w:t>
      </w:r>
      <w:proofErr w:type="spellStart"/>
      <w:r w:rsidRPr="006F7966">
        <w:t>l’article</w:t>
      </w:r>
      <w:proofErr w:type="spellEnd"/>
      <w:r w:rsidRPr="006F7966">
        <w:t xml:space="preserve"> 8 de la </w:t>
      </w:r>
      <w:proofErr w:type="gramStart"/>
      <w:r w:rsidRPr="006F7966">
        <w:t>Convention :</w:t>
      </w:r>
      <w:proofErr w:type="gramEnd"/>
    </w:p>
    <w:p w14:paraId="1816FFA3" w14:textId="77777777" w:rsidR="00760E8D" w:rsidRPr="006F7966" w:rsidRDefault="00760E8D" w:rsidP="00760E8D">
      <w:pPr>
        <w:pStyle w:val="JuQuot"/>
      </w:pPr>
      <w:bookmarkStart w:id="6" w:name="_Hlk36127545"/>
      <w:bookmarkEnd w:id="5"/>
      <w:r w:rsidRPr="006F7966">
        <w:t>« 1.  Toute personne a droit au respect de sa vie privée et familiale (...).</w:t>
      </w:r>
    </w:p>
    <w:p w14:paraId="4559CB7C" w14:textId="77777777" w:rsidR="00760E8D" w:rsidRPr="006F7966" w:rsidRDefault="00760E8D" w:rsidP="00760E8D">
      <w:pPr>
        <w:pStyle w:val="JuQuot"/>
      </w:pPr>
      <w:r w:rsidRPr="006F7966">
        <w:t>2.  Il ne peut y avoir ingérence d’une autorité publique dans l’exercice de ce droit que pour autant que cette ingérence est prévue par la loi et qu’elle constitue une mesure qui, dans une société démocratique, est nécessaire à la sécurité nationale, à la sûreté publique, au bien</w:t>
      </w:r>
      <w:r w:rsidRPr="006F7966">
        <w:noBreakHyphen/>
        <w:t xml:space="preserve">être économique du pays, à la défense de l’ordre et à la prévention des infractions pénales, à la protection de la santé ou de la morale, ou à la </w:t>
      </w:r>
      <w:proofErr w:type="gramStart"/>
      <w:r w:rsidRPr="006F7966">
        <w:t>protection</w:t>
      </w:r>
      <w:proofErr w:type="gramEnd"/>
      <w:r w:rsidRPr="006F7966">
        <w:t xml:space="preserve"> des droits et libertés d’autrui. »</w:t>
      </w:r>
    </w:p>
    <w:p w14:paraId="20E02186" w14:textId="77777777" w:rsidR="00760E8D" w:rsidRPr="006F7966" w:rsidRDefault="00760E8D" w:rsidP="00760E8D">
      <w:pPr>
        <w:pStyle w:val="JuHA"/>
        <w:numPr>
          <w:ilvl w:val="2"/>
          <w:numId w:val="18"/>
        </w:numPr>
        <w:ind w:left="510" w:hanging="340"/>
      </w:pPr>
      <w:r w:rsidRPr="006F7966">
        <w:t>Sur la recevabilité</w:t>
      </w:r>
      <w:bookmarkEnd w:id="6"/>
    </w:p>
    <w:p w14:paraId="5172E47A" w14:textId="77777777" w:rsidR="00760E8D" w:rsidRPr="006F7966" w:rsidRDefault="00760E8D" w:rsidP="00760E8D">
      <w:pPr>
        <w:pStyle w:val="ECHRPara"/>
      </w:pPr>
      <w:r w:rsidRPr="006F7966">
        <w:fldChar w:fldCharType="begin"/>
      </w:r>
      <w:r w:rsidRPr="006F7966">
        <w:instrText xml:space="preserve"> SEQ level0 \*arabic </w:instrText>
      </w:r>
      <w:r w:rsidRPr="006F7966">
        <w:fldChar w:fldCharType="separate"/>
      </w:r>
      <w:r w:rsidRPr="006F7966">
        <w:rPr>
          <w:noProof/>
        </w:rPr>
        <w:t>41</w:t>
      </w:r>
      <w:r w:rsidRPr="006F7966">
        <w:fldChar w:fldCharType="end"/>
      </w:r>
      <w:r w:rsidRPr="006F7966">
        <w:t>.  </w:t>
      </w:r>
      <w:bookmarkStart w:id="7" w:name="_Hlk36127558"/>
      <w:r w:rsidRPr="006F7966">
        <w:t xml:space="preserve">Le </w:t>
      </w:r>
      <w:proofErr w:type="spellStart"/>
      <w:r w:rsidRPr="006F7966">
        <w:t>Gouvernement</w:t>
      </w:r>
      <w:proofErr w:type="spellEnd"/>
      <w:r w:rsidRPr="006F7966">
        <w:t xml:space="preserve"> </w:t>
      </w:r>
      <w:proofErr w:type="spellStart"/>
      <w:r w:rsidRPr="006F7966">
        <w:t>soutient</w:t>
      </w:r>
      <w:proofErr w:type="spellEnd"/>
      <w:r w:rsidRPr="006F7966">
        <w:t xml:space="preserve"> que la </w:t>
      </w:r>
      <w:proofErr w:type="spellStart"/>
      <w:r w:rsidRPr="006F7966">
        <w:t>requérante</w:t>
      </w:r>
      <w:proofErr w:type="spellEnd"/>
      <w:r w:rsidRPr="006F7966">
        <w:t xml:space="preserve"> </w:t>
      </w:r>
      <w:proofErr w:type="spellStart"/>
      <w:r w:rsidRPr="006F7966">
        <w:t>n’a</w:t>
      </w:r>
      <w:proofErr w:type="spellEnd"/>
      <w:r w:rsidRPr="006F7966">
        <w:t xml:space="preserve"> pas </w:t>
      </w:r>
      <w:proofErr w:type="spellStart"/>
      <w:r w:rsidRPr="006F7966">
        <w:t>épuisé</w:t>
      </w:r>
      <w:proofErr w:type="spellEnd"/>
      <w:r w:rsidRPr="006F7966">
        <w:t xml:space="preserve"> les </w:t>
      </w:r>
      <w:proofErr w:type="spellStart"/>
      <w:r w:rsidRPr="006F7966">
        <w:t>voies</w:t>
      </w:r>
      <w:proofErr w:type="spellEnd"/>
      <w:r w:rsidRPr="006F7966">
        <w:t xml:space="preserve"> de </w:t>
      </w:r>
      <w:proofErr w:type="spellStart"/>
      <w:r w:rsidRPr="006F7966">
        <w:t>recours</w:t>
      </w:r>
      <w:proofErr w:type="spellEnd"/>
      <w:r w:rsidRPr="006F7966">
        <w:t xml:space="preserve"> internes, </w:t>
      </w:r>
      <w:proofErr w:type="spellStart"/>
      <w:r w:rsidRPr="006F7966">
        <w:t>faute</w:t>
      </w:r>
      <w:proofErr w:type="spellEnd"/>
      <w:r w:rsidRPr="006F7966">
        <w:t xml:space="preserve"> </w:t>
      </w:r>
      <w:proofErr w:type="spellStart"/>
      <w:r w:rsidRPr="006F7966">
        <w:t>d’avoir</w:t>
      </w:r>
      <w:proofErr w:type="spellEnd"/>
      <w:r w:rsidRPr="006F7966">
        <w:t xml:space="preserve"> </w:t>
      </w:r>
      <w:proofErr w:type="spellStart"/>
      <w:r w:rsidRPr="006F7966">
        <w:t>formé</w:t>
      </w:r>
      <w:proofErr w:type="spellEnd"/>
      <w:r w:rsidRPr="006F7966">
        <w:t xml:space="preserve"> un </w:t>
      </w:r>
      <w:proofErr w:type="spellStart"/>
      <w:r w:rsidRPr="006F7966">
        <w:t>pourvoi</w:t>
      </w:r>
      <w:proofErr w:type="spellEnd"/>
      <w:r w:rsidRPr="006F7966">
        <w:t xml:space="preserve"> </w:t>
      </w:r>
      <w:proofErr w:type="spellStart"/>
      <w:r w:rsidRPr="006F7966">
        <w:t>en</w:t>
      </w:r>
      <w:proofErr w:type="spellEnd"/>
      <w:r w:rsidRPr="006F7966">
        <w:t xml:space="preserve"> cassation </w:t>
      </w:r>
      <w:proofErr w:type="spellStart"/>
      <w:r w:rsidRPr="006F7966">
        <w:t>contre</w:t>
      </w:r>
      <w:proofErr w:type="spellEnd"/>
      <w:r w:rsidRPr="006F7966">
        <w:t xml:space="preserve"> les </w:t>
      </w:r>
      <w:bookmarkEnd w:id="7"/>
      <w:proofErr w:type="spellStart"/>
      <w:r w:rsidRPr="006F7966">
        <w:t>décisions</w:t>
      </w:r>
      <w:proofErr w:type="spellEnd"/>
      <w:r w:rsidRPr="006F7966">
        <w:t xml:space="preserve"> relatives au placement de </w:t>
      </w:r>
      <w:proofErr w:type="spellStart"/>
      <w:r w:rsidRPr="006F7966">
        <w:t>sa</w:t>
      </w:r>
      <w:proofErr w:type="spellEnd"/>
      <w:r w:rsidRPr="006F7966">
        <w:t xml:space="preserve"> fille et aux droits de </w:t>
      </w:r>
      <w:proofErr w:type="spellStart"/>
      <w:r w:rsidRPr="006F7966">
        <w:t>visite</w:t>
      </w:r>
      <w:proofErr w:type="spellEnd"/>
      <w:r w:rsidRPr="006F7966">
        <w:t xml:space="preserve">. La </w:t>
      </w:r>
      <w:proofErr w:type="spellStart"/>
      <w:r w:rsidRPr="006F7966">
        <w:t>Cour</w:t>
      </w:r>
      <w:proofErr w:type="spellEnd"/>
      <w:r w:rsidRPr="006F7966">
        <w:t xml:space="preserve"> de cassation </w:t>
      </w:r>
      <w:proofErr w:type="spellStart"/>
      <w:r w:rsidRPr="006F7966">
        <w:t>contrôle</w:t>
      </w:r>
      <w:proofErr w:type="spellEnd"/>
      <w:r w:rsidRPr="006F7966">
        <w:t xml:space="preserve"> la motivation des </w:t>
      </w:r>
      <w:proofErr w:type="spellStart"/>
      <w:r w:rsidRPr="006F7966">
        <w:t>décisions</w:t>
      </w:r>
      <w:proofErr w:type="spellEnd"/>
      <w:r w:rsidRPr="006F7966">
        <w:t xml:space="preserve"> </w:t>
      </w:r>
      <w:proofErr w:type="spellStart"/>
      <w:r w:rsidRPr="006F7966">
        <w:t>justifiant</w:t>
      </w:r>
      <w:proofErr w:type="spellEnd"/>
      <w:r w:rsidRPr="006F7966">
        <w:t xml:space="preserve"> le </w:t>
      </w:r>
      <w:proofErr w:type="spellStart"/>
      <w:r w:rsidRPr="006F7966">
        <w:t>maintien</w:t>
      </w:r>
      <w:proofErr w:type="spellEnd"/>
      <w:r w:rsidRPr="006F7966">
        <w:t xml:space="preserve"> du placement d’un </w:t>
      </w:r>
      <w:proofErr w:type="spellStart"/>
      <w:r w:rsidRPr="006F7966">
        <w:t>mineur</w:t>
      </w:r>
      <w:proofErr w:type="spellEnd"/>
      <w:r w:rsidRPr="006F7966">
        <w:t xml:space="preserve"> (Civ., 1</w:t>
      </w:r>
      <w:r w:rsidRPr="006F7966">
        <w:rPr>
          <w:vertAlign w:val="superscript"/>
        </w:rPr>
        <w:t>er</w:t>
      </w:r>
      <w:r w:rsidRPr="006F7966">
        <w:t xml:space="preserve">, 9 </w:t>
      </w:r>
      <w:proofErr w:type="spellStart"/>
      <w:r w:rsidRPr="006F7966">
        <w:t>juin</w:t>
      </w:r>
      <w:proofErr w:type="spellEnd"/>
      <w:r w:rsidRPr="006F7966">
        <w:t xml:space="preserve"> 2010, n</w:t>
      </w:r>
      <w:r w:rsidRPr="006F7966">
        <w:rPr>
          <w:vertAlign w:val="superscript"/>
        </w:rPr>
        <w:t>o</w:t>
      </w:r>
      <w:r w:rsidRPr="006F7966">
        <w:t xml:space="preserve"> 09-13390), </w:t>
      </w:r>
      <w:proofErr w:type="spellStart"/>
      <w:r w:rsidRPr="006F7966">
        <w:t>notamment</w:t>
      </w:r>
      <w:proofErr w:type="spellEnd"/>
      <w:r w:rsidRPr="006F7966">
        <w:t xml:space="preserve"> </w:t>
      </w:r>
      <w:proofErr w:type="spellStart"/>
      <w:r w:rsidRPr="006F7966">
        <w:t>lorsque</w:t>
      </w:r>
      <w:proofErr w:type="spellEnd"/>
      <w:r w:rsidRPr="006F7966">
        <w:t xml:space="preserve"> les conditions de son </w:t>
      </w:r>
      <w:proofErr w:type="spellStart"/>
      <w:r w:rsidRPr="006F7966">
        <w:t>éducation</w:t>
      </w:r>
      <w:proofErr w:type="spellEnd"/>
      <w:r w:rsidRPr="006F7966">
        <w:t xml:space="preserve"> </w:t>
      </w:r>
      <w:proofErr w:type="spellStart"/>
      <w:r w:rsidRPr="006F7966">
        <w:t>sont</w:t>
      </w:r>
      <w:proofErr w:type="spellEnd"/>
      <w:r w:rsidRPr="006F7966">
        <w:t xml:space="preserve"> « </w:t>
      </w:r>
      <w:proofErr w:type="spellStart"/>
      <w:r w:rsidRPr="006F7966">
        <w:t>gravement</w:t>
      </w:r>
      <w:proofErr w:type="spellEnd"/>
      <w:r w:rsidRPr="006F7966">
        <w:t xml:space="preserve"> compromises » (Civ., 1</w:t>
      </w:r>
      <w:r w:rsidRPr="006F7966">
        <w:rPr>
          <w:vertAlign w:val="superscript"/>
        </w:rPr>
        <w:t>ere</w:t>
      </w:r>
      <w:r w:rsidRPr="006F7966">
        <w:t xml:space="preserve">, 16 </w:t>
      </w:r>
      <w:proofErr w:type="spellStart"/>
      <w:r w:rsidRPr="006F7966">
        <w:t>février</w:t>
      </w:r>
      <w:proofErr w:type="spellEnd"/>
      <w:r w:rsidRPr="006F7966">
        <w:t xml:space="preserve"> 1977, Bull. civ. I, n</w:t>
      </w:r>
      <w:r w:rsidRPr="006F7966">
        <w:rPr>
          <w:vertAlign w:val="superscript"/>
        </w:rPr>
        <w:t>o</w:t>
      </w:r>
      <w:proofErr w:type="gramStart"/>
      <w:r w:rsidRPr="006F7966">
        <w:t>90 ;</w:t>
      </w:r>
      <w:proofErr w:type="gramEnd"/>
      <w:r w:rsidRPr="006F7966">
        <w:t xml:space="preserve"> Civ., 1</w:t>
      </w:r>
      <w:r w:rsidRPr="006F7966">
        <w:rPr>
          <w:vertAlign w:val="superscript"/>
        </w:rPr>
        <w:t>ere</w:t>
      </w:r>
      <w:r w:rsidRPr="006F7966">
        <w:t xml:space="preserve">, 8 </w:t>
      </w:r>
      <w:proofErr w:type="spellStart"/>
      <w:r w:rsidRPr="006F7966">
        <w:t>octobre</w:t>
      </w:r>
      <w:proofErr w:type="spellEnd"/>
      <w:r w:rsidRPr="006F7966">
        <w:t xml:space="preserve"> 1985, Bull. civ. I, n</w:t>
      </w:r>
      <w:r w:rsidRPr="006F7966">
        <w:rPr>
          <w:vertAlign w:val="superscript"/>
        </w:rPr>
        <w:t>o</w:t>
      </w:r>
      <w:r w:rsidRPr="006F7966">
        <w:t xml:space="preserve"> </w:t>
      </w:r>
      <w:proofErr w:type="gramStart"/>
      <w:r w:rsidRPr="006F7966">
        <w:t>2474 ;</w:t>
      </w:r>
      <w:proofErr w:type="gramEnd"/>
      <w:r w:rsidRPr="006F7966">
        <w:t xml:space="preserve"> Civ. 1</w:t>
      </w:r>
      <w:r w:rsidRPr="006F7966">
        <w:rPr>
          <w:vertAlign w:val="superscript"/>
        </w:rPr>
        <w:t>ere</w:t>
      </w:r>
      <w:r w:rsidRPr="006F7966">
        <w:t xml:space="preserve">, 8 </w:t>
      </w:r>
      <w:proofErr w:type="spellStart"/>
      <w:r w:rsidRPr="006F7966">
        <w:t>octobre</w:t>
      </w:r>
      <w:proofErr w:type="spellEnd"/>
      <w:r w:rsidRPr="006F7966">
        <w:t xml:space="preserve"> 1986, n</w:t>
      </w:r>
      <w:r w:rsidRPr="006F7966">
        <w:rPr>
          <w:vertAlign w:val="superscript"/>
        </w:rPr>
        <w:t>o</w:t>
      </w:r>
      <w:r w:rsidRPr="006F7966">
        <w:t xml:space="preserve"> 84-80007), </w:t>
      </w:r>
      <w:proofErr w:type="spellStart"/>
      <w:r w:rsidRPr="006F7966">
        <w:t>ainsi</w:t>
      </w:r>
      <w:proofErr w:type="spellEnd"/>
      <w:r w:rsidRPr="006F7966">
        <w:t xml:space="preserve"> que </w:t>
      </w:r>
      <w:proofErr w:type="spellStart"/>
      <w:r w:rsidRPr="006F7966">
        <w:t>celle</w:t>
      </w:r>
      <w:proofErr w:type="spellEnd"/>
      <w:r w:rsidRPr="006F7966">
        <w:t xml:space="preserve"> des </w:t>
      </w:r>
      <w:proofErr w:type="spellStart"/>
      <w:r w:rsidRPr="006F7966">
        <w:t>décisions</w:t>
      </w:r>
      <w:proofErr w:type="spellEnd"/>
      <w:r w:rsidRPr="006F7966">
        <w:t xml:space="preserve"> relatives aux rencontres avec les parents (Civ., 1</w:t>
      </w:r>
      <w:r w:rsidRPr="006F7966">
        <w:rPr>
          <w:vertAlign w:val="superscript"/>
        </w:rPr>
        <w:t>ere</w:t>
      </w:r>
      <w:r w:rsidRPr="006F7966">
        <w:t xml:space="preserve">, 7 </w:t>
      </w:r>
      <w:proofErr w:type="spellStart"/>
      <w:r w:rsidRPr="006F7966">
        <w:t>juin</w:t>
      </w:r>
      <w:proofErr w:type="spellEnd"/>
      <w:r w:rsidRPr="006F7966">
        <w:t xml:space="preserve"> 1995, n</w:t>
      </w:r>
      <w:r w:rsidRPr="006F7966">
        <w:rPr>
          <w:vertAlign w:val="superscript"/>
        </w:rPr>
        <w:t>o</w:t>
      </w:r>
      <w:r w:rsidRPr="006F7966">
        <w:t xml:space="preserve"> 94-05028). Elle </w:t>
      </w:r>
      <w:proofErr w:type="spellStart"/>
      <w:r w:rsidRPr="006F7966">
        <w:t>opère</w:t>
      </w:r>
      <w:proofErr w:type="spellEnd"/>
      <w:r w:rsidRPr="006F7966">
        <w:t xml:space="preserve"> </w:t>
      </w:r>
      <w:proofErr w:type="spellStart"/>
      <w:r w:rsidRPr="006F7966">
        <w:t>également</w:t>
      </w:r>
      <w:proofErr w:type="spellEnd"/>
      <w:r w:rsidRPr="006F7966">
        <w:t xml:space="preserve"> un </w:t>
      </w:r>
      <w:proofErr w:type="spellStart"/>
      <w:r w:rsidRPr="006F7966">
        <w:t>contrôle</w:t>
      </w:r>
      <w:proofErr w:type="spellEnd"/>
      <w:r w:rsidRPr="006F7966">
        <w:t xml:space="preserve"> </w:t>
      </w:r>
      <w:r w:rsidRPr="006F7966">
        <w:rPr>
          <w:i/>
          <w:iCs/>
        </w:rPr>
        <w:t xml:space="preserve">in </w:t>
      </w:r>
      <w:proofErr w:type="spellStart"/>
      <w:r w:rsidRPr="006F7966">
        <w:rPr>
          <w:i/>
          <w:iCs/>
        </w:rPr>
        <w:t>concreto</w:t>
      </w:r>
      <w:proofErr w:type="spellEnd"/>
      <w:r w:rsidRPr="006F7966">
        <w:t xml:space="preserve"> des MJIE (Civ., 1</w:t>
      </w:r>
      <w:r w:rsidRPr="006F7966">
        <w:rPr>
          <w:vertAlign w:val="superscript"/>
        </w:rPr>
        <w:t>ere</w:t>
      </w:r>
      <w:r w:rsidRPr="006F7966">
        <w:t>, 3 mars 1981, Bull. civ. I, n</w:t>
      </w:r>
      <w:r w:rsidRPr="006F7966">
        <w:rPr>
          <w:vertAlign w:val="superscript"/>
        </w:rPr>
        <w:t>o</w:t>
      </w:r>
      <w:r w:rsidRPr="006F7966">
        <w:t xml:space="preserve"> 74) et </w:t>
      </w:r>
      <w:proofErr w:type="spellStart"/>
      <w:r w:rsidRPr="006F7966">
        <w:t>considère</w:t>
      </w:r>
      <w:proofErr w:type="spellEnd"/>
      <w:r w:rsidRPr="006F7966">
        <w:t xml:space="preserve"> que les </w:t>
      </w:r>
      <w:proofErr w:type="spellStart"/>
      <w:r w:rsidRPr="006F7966">
        <w:t>juges</w:t>
      </w:r>
      <w:proofErr w:type="spellEnd"/>
      <w:r w:rsidRPr="006F7966">
        <w:t xml:space="preserve"> </w:t>
      </w:r>
      <w:proofErr w:type="spellStart"/>
      <w:r w:rsidRPr="006F7966">
        <w:t>d’appel</w:t>
      </w:r>
      <w:proofErr w:type="spellEnd"/>
      <w:r w:rsidRPr="006F7966">
        <w:t xml:space="preserve"> </w:t>
      </w:r>
      <w:proofErr w:type="spellStart"/>
      <w:r w:rsidRPr="006F7966">
        <w:t>doivent</w:t>
      </w:r>
      <w:proofErr w:type="spellEnd"/>
      <w:r w:rsidRPr="006F7966">
        <w:t xml:space="preserve"> </w:t>
      </w:r>
      <w:proofErr w:type="spellStart"/>
      <w:r w:rsidRPr="006F7966">
        <w:t>apprécier</w:t>
      </w:r>
      <w:proofErr w:type="spellEnd"/>
      <w:r w:rsidRPr="006F7966">
        <w:t xml:space="preserve"> les faits </w:t>
      </w:r>
      <w:proofErr w:type="spellStart"/>
      <w:r w:rsidRPr="006F7966">
        <w:t>en</w:t>
      </w:r>
      <w:proofErr w:type="spellEnd"/>
      <w:r w:rsidRPr="006F7966">
        <w:t xml:space="preserve"> tenant </w:t>
      </w:r>
      <w:proofErr w:type="spellStart"/>
      <w:r w:rsidRPr="006F7966">
        <w:t>compte</w:t>
      </w:r>
      <w:proofErr w:type="spellEnd"/>
      <w:r w:rsidRPr="006F7966">
        <w:t xml:space="preserve"> de </w:t>
      </w:r>
      <w:proofErr w:type="spellStart"/>
      <w:r w:rsidRPr="006F7966">
        <w:t>ceux</w:t>
      </w:r>
      <w:proofErr w:type="spellEnd"/>
      <w:r w:rsidRPr="006F7966">
        <w:t xml:space="preserve"> </w:t>
      </w:r>
      <w:proofErr w:type="spellStart"/>
      <w:r w:rsidRPr="006F7966">
        <w:t>survenus</w:t>
      </w:r>
      <w:proofErr w:type="spellEnd"/>
      <w:r w:rsidRPr="006F7966">
        <w:t xml:space="preserve"> </w:t>
      </w:r>
      <w:proofErr w:type="spellStart"/>
      <w:r w:rsidRPr="006F7966">
        <w:t>postérieurement</w:t>
      </w:r>
      <w:proofErr w:type="spellEnd"/>
      <w:r w:rsidRPr="006F7966">
        <w:t xml:space="preserve"> à la </w:t>
      </w:r>
      <w:proofErr w:type="spellStart"/>
      <w:r w:rsidRPr="006F7966">
        <w:t>décision</w:t>
      </w:r>
      <w:proofErr w:type="spellEnd"/>
      <w:r w:rsidRPr="006F7966">
        <w:t xml:space="preserve"> </w:t>
      </w:r>
      <w:proofErr w:type="spellStart"/>
      <w:r w:rsidRPr="006F7966">
        <w:t>attaquée</w:t>
      </w:r>
      <w:proofErr w:type="spellEnd"/>
      <w:r w:rsidRPr="006F7966">
        <w:t xml:space="preserve"> (Civ., 1</w:t>
      </w:r>
      <w:r w:rsidRPr="006F7966">
        <w:rPr>
          <w:vertAlign w:val="superscript"/>
        </w:rPr>
        <w:t>ere</w:t>
      </w:r>
      <w:r w:rsidRPr="006F7966">
        <w:t xml:space="preserve">, 20 </w:t>
      </w:r>
      <w:proofErr w:type="spellStart"/>
      <w:r w:rsidRPr="006F7966">
        <w:t>octobre</w:t>
      </w:r>
      <w:proofErr w:type="spellEnd"/>
      <w:r w:rsidRPr="006F7966">
        <w:t xml:space="preserve"> 2010, n</w:t>
      </w:r>
      <w:r w:rsidRPr="006F7966">
        <w:rPr>
          <w:vertAlign w:val="superscript"/>
        </w:rPr>
        <w:t>o</w:t>
      </w:r>
      <w:r w:rsidRPr="006F7966">
        <w:t> 09</w:t>
      </w:r>
      <w:r w:rsidRPr="006F7966">
        <w:noBreakHyphen/>
        <w:t>68141).</w:t>
      </w:r>
    </w:p>
    <w:p w14:paraId="3FB3EB25" w14:textId="77777777" w:rsidR="00760E8D" w:rsidRPr="006F7966" w:rsidRDefault="00760E8D" w:rsidP="00760E8D">
      <w:pPr>
        <w:pStyle w:val="ECHRPara"/>
      </w:pPr>
      <w:r w:rsidRPr="006F7966">
        <w:fldChar w:fldCharType="begin"/>
      </w:r>
      <w:r w:rsidRPr="006F7966">
        <w:instrText xml:space="preserve"> SEQ level0 \*arabic </w:instrText>
      </w:r>
      <w:r w:rsidRPr="006F7966">
        <w:fldChar w:fldCharType="separate"/>
      </w:r>
      <w:r w:rsidRPr="006F7966">
        <w:rPr>
          <w:noProof/>
        </w:rPr>
        <w:t>42</w:t>
      </w:r>
      <w:r w:rsidRPr="006F7966">
        <w:fldChar w:fldCharType="end"/>
      </w:r>
      <w:r w:rsidRPr="006F7966">
        <w:t>.  </w:t>
      </w:r>
      <w:proofErr w:type="spellStart"/>
      <w:r w:rsidRPr="006F7966">
        <w:t>Selon</w:t>
      </w:r>
      <w:proofErr w:type="spellEnd"/>
      <w:r w:rsidRPr="006F7966">
        <w:t xml:space="preserve"> la </w:t>
      </w:r>
      <w:proofErr w:type="spellStart"/>
      <w:r w:rsidRPr="006F7966">
        <w:t>requérante</w:t>
      </w:r>
      <w:proofErr w:type="spellEnd"/>
      <w:r w:rsidRPr="006F7966">
        <w:t xml:space="preserve">, le </w:t>
      </w:r>
      <w:proofErr w:type="spellStart"/>
      <w:r w:rsidRPr="006F7966">
        <w:t>pourvoi</w:t>
      </w:r>
      <w:proofErr w:type="spellEnd"/>
      <w:r w:rsidRPr="006F7966">
        <w:t xml:space="preserve"> </w:t>
      </w:r>
      <w:proofErr w:type="spellStart"/>
      <w:r w:rsidRPr="006F7966">
        <w:t>en</w:t>
      </w:r>
      <w:proofErr w:type="spellEnd"/>
      <w:r w:rsidRPr="006F7966">
        <w:t xml:space="preserve"> cassation ne </w:t>
      </w:r>
      <w:proofErr w:type="spellStart"/>
      <w:r w:rsidRPr="006F7966">
        <w:t>serait</w:t>
      </w:r>
      <w:proofErr w:type="spellEnd"/>
      <w:r w:rsidRPr="006F7966">
        <w:t xml:space="preserve"> pas </w:t>
      </w:r>
      <w:proofErr w:type="spellStart"/>
      <w:r w:rsidRPr="006F7966">
        <w:t>une</w:t>
      </w:r>
      <w:proofErr w:type="spellEnd"/>
      <w:r w:rsidRPr="006F7966">
        <w:t xml:space="preserve"> </w:t>
      </w:r>
      <w:proofErr w:type="spellStart"/>
      <w:r w:rsidRPr="006F7966">
        <w:t>voie</w:t>
      </w:r>
      <w:proofErr w:type="spellEnd"/>
      <w:r w:rsidRPr="006F7966">
        <w:t xml:space="preserve"> de </w:t>
      </w:r>
      <w:proofErr w:type="spellStart"/>
      <w:r w:rsidRPr="006F7966">
        <w:t>recours</w:t>
      </w:r>
      <w:proofErr w:type="spellEnd"/>
      <w:r w:rsidRPr="006F7966">
        <w:t xml:space="preserve"> à </w:t>
      </w:r>
      <w:proofErr w:type="spellStart"/>
      <w:r w:rsidRPr="006F7966">
        <w:t>épuiser</w:t>
      </w:r>
      <w:proofErr w:type="spellEnd"/>
      <w:r w:rsidRPr="006F7966">
        <w:t xml:space="preserve"> car la </w:t>
      </w:r>
      <w:proofErr w:type="spellStart"/>
      <w:r w:rsidRPr="006F7966">
        <w:t>Cour</w:t>
      </w:r>
      <w:proofErr w:type="spellEnd"/>
      <w:r w:rsidRPr="006F7966">
        <w:t xml:space="preserve"> de cassation ne </w:t>
      </w:r>
      <w:proofErr w:type="spellStart"/>
      <w:r w:rsidRPr="006F7966">
        <w:t>peut</w:t>
      </w:r>
      <w:proofErr w:type="spellEnd"/>
      <w:r w:rsidRPr="006F7966">
        <w:t xml:space="preserve"> </w:t>
      </w:r>
      <w:proofErr w:type="spellStart"/>
      <w:r w:rsidRPr="006F7966">
        <w:t>statuer</w:t>
      </w:r>
      <w:proofErr w:type="spellEnd"/>
      <w:r w:rsidRPr="006F7966">
        <w:t xml:space="preserve"> </w:t>
      </w:r>
      <w:proofErr w:type="spellStart"/>
      <w:r w:rsidRPr="006F7966">
        <w:t>qu’en</w:t>
      </w:r>
      <w:proofErr w:type="spellEnd"/>
      <w:r w:rsidRPr="006F7966">
        <w:t xml:space="preserve"> droit et non </w:t>
      </w:r>
      <w:proofErr w:type="spellStart"/>
      <w:r w:rsidRPr="006F7966">
        <w:t>en</w:t>
      </w:r>
      <w:proofErr w:type="spellEnd"/>
      <w:r w:rsidRPr="006F7966">
        <w:t xml:space="preserve"> </w:t>
      </w:r>
      <w:proofErr w:type="spellStart"/>
      <w:r w:rsidRPr="006F7966">
        <w:t>fait</w:t>
      </w:r>
      <w:proofErr w:type="spellEnd"/>
      <w:r w:rsidRPr="006F7966">
        <w:t xml:space="preserve">. Elle </w:t>
      </w:r>
      <w:proofErr w:type="spellStart"/>
      <w:r w:rsidRPr="006F7966">
        <w:t>invoque</w:t>
      </w:r>
      <w:proofErr w:type="spellEnd"/>
      <w:r w:rsidRPr="006F7966">
        <w:t xml:space="preserve"> à </w:t>
      </w:r>
      <w:proofErr w:type="spellStart"/>
      <w:r w:rsidRPr="006F7966">
        <w:t>ce</w:t>
      </w:r>
      <w:proofErr w:type="spellEnd"/>
      <w:r w:rsidRPr="006F7966">
        <w:t xml:space="preserve"> titre </w:t>
      </w:r>
      <w:proofErr w:type="spellStart"/>
      <w:r w:rsidRPr="006F7966">
        <w:t>l’arrêt</w:t>
      </w:r>
      <w:proofErr w:type="spellEnd"/>
      <w:r w:rsidRPr="006F7966">
        <w:t xml:space="preserve"> </w:t>
      </w:r>
      <w:r w:rsidRPr="006F7966">
        <w:rPr>
          <w:i/>
        </w:rPr>
        <w:t>Schmidt c. France</w:t>
      </w:r>
      <w:r w:rsidRPr="006F7966">
        <w:t xml:space="preserve"> (n</w:t>
      </w:r>
      <w:r w:rsidRPr="006F7966">
        <w:rPr>
          <w:vertAlign w:val="superscript"/>
        </w:rPr>
        <w:t>o</w:t>
      </w:r>
      <w:r w:rsidRPr="006F7966">
        <w:t xml:space="preserve"> 35109/02, 26 </w:t>
      </w:r>
      <w:proofErr w:type="spellStart"/>
      <w:r w:rsidRPr="006F7966">
        <w:t>juillet</w:t>
      </w:r>
      <w:proofErr w:type="spellEnd"/>
      <w:r w:rsidRPr="006F7966">
        <w:t xml:space="preserve"> 2007) et la </w:t>
      </w:r>
      <w:proofErr w:type="spellStart"/>
      <w:r w:rsidRPr="006F7966">
        <w:t>décision</w:t>
      </w:r>
      <w:proofErr w:type="spellEnd"/>
      <w:r w:rsidRPr="006F7966">
        <w:t xml:space="preserve"> </w:t>
      </w:r>
      <w:proofErr w:type="spellStart"/>
      <w:r w:rsidRPr="006F7966">
        <w:rPr>
          <w:i/>
          <w:iCs/>
        </w:rPr>
        <w:t>Plasse</w:t>
      </w:r>
      <w:proofErr w:type="spellEnd"/>
      <w:r w:rsidRPr="006F7966">
        <w:rPr>
          <w:i/>
          <w:iCs/>
        </w:rPr>
        <w:t>-Bauer c. France</w:t>
      </w:r>
      <w:r w:rsidRPr="006F7966">
        <w:t xml:space="preserve"> ((</w:t>
      </w:r>
      <w:proofErr w:type="spellStart"/>
      <w:r w:rsidRPr="006F7966">
        <w:t>déc</w:t>
      </w:r>
      <w:proofErr w:type="spellEnd"/>
      <w:r w:rsidRPr="006F7966">
        <w:t>.), n</w:t>
      </w:r>
      <w:r w:rsidRPr="006F7966">
        <w:rPr>
          <w:vertAlign w:val="superscript"/>
        </w:rPr>
        <w:t>o</w:t>
      </w:r>
      <w:r w:rsidRPr="006F7966">
        <w:t> 21324/02 31 </w:t>
      </w:r>
      <w:proofErr w:type="spellStart"/>
      <w:r w:rsidRPr="006F7966">
        <w:t>mai</w:t>
      </w:r>
      <w:proofErr w:type="spellEnd"/>
      <w:r w:rsidRPr="006F7966">
        <w:t xml:space="preserve"> 2005). Elle </w:t>
      </w:r>
      <w:proofErr w:type="spellStart"/>
      <w:r w:rsidRPr="006F7966">
        <w:t>affirme</w:t>
      </w:r>
      <w:proofErr w:type="spellEnd"/>
      <w:r w:rsidRPr="006F7966">
        <w:t xml:space="preserve"> que la </w:t>
      </w:r>
      <w:proofErr w:type="spellStart"/>
      <w:r w:rsidRPr="006F7966">
        <w:t>spécificité</w:t>
      </w:r>
      <w:proofErr w:type="spellEnd"/>
      <w:r w:rsidRPr="006F7966">
        <w:t xml:space="preserve"> des </w:t>
      </w:r>
      <w:proofErr w:type="spellStart"/>
      <w:r w:rsidRPr="006F7966">
        <w:t>décisions</w:t>
      </w:r>
      <w:proofErr w:type="spellEnd"/>
      <w:r w:rsidRPr="006F7966">
        <w:t xml:space="preserve"> de placement prises par le </w:t>
      </w:r>
      <w:proofErr w:type="spellStart"/>
      <w:r w:rsidRPr="006F7966">
        <w:t>juge</w:t>
      </w:r>
      <w:proofErr w:type="spellEnd"/>
      <w:r w:rsidRPr="006F7966">
        <w:t xml:space="preserve"> qui </w:t>
      </w:r>
      <w:proofErr w:type="spellStart"/>
      <w:r w:rsidRPr="006F7966">
        <w:t>sont</w:t>
      </w:r>
      <w:proofErr w:type="spellEnd"/>
      <w:r w:rsidRPr="006F7966">
        <w:t xml:space="preserve"> </w:t>
      </w:r>
      <w:proofErr w:type="spellStart"/>
      <w:r w:rsidRPr="006F7966">
        <w:t>généralement</w:t>
      </w:r>
      <w:proofErr w:type="spellEnd"/>
      <w:r w:rsidRPr="006F7966">
        <w:t xml:space="preserve"> de </w:t>
      </w:r>
      <w:proofErr w:type="spellStart"/>
      <w:r w:rsidRPr="006F7966">
        <w:t>courte</w:t>
      </w:r>
      <w:proofErr w:type="spellEnd"/>
      <w:r w:rsidRPr="006F7966">
        <w:t xml:space="preserve"> durée et </w:t>
      </w:r>
      <w:proofErr w:type="spellStart"/>
      <w:r w:rsidRPr="006F7966">
        <w:t>susceptibles</w:t>
      </w:r>
      <w:proofErr w:type="spellEnd"/>
      <w:r w:rsidRPr="006F7966">
        <w:t xml:space="preserve"> </w:t>
      </w:r>
      <w:proofErr w:type="spellStart"/>
      <w:r w:rsidRPr="006F7966">
        <w:t>d’évoluer</w:t>
      </w:r>
      <w:proofErr w:type="spellEnd"/>
      <w:r w:rsidRPr="006F7966">
        <w:t xml:space="preserve">, rend vain </w:t>
      </w:r>
      <w:proofErr w:type="spellStart"/>
      <w:r w:rsidRPr="006F7966">
        <w:t>l’exercice</w:t>
      </w:r>
      <w:proofErr w:type="spellEnd"/>
      <w:r w:rsidRPr="006F7966">
        <w:t xml:space="preserve"> d’un </w:t>
      </w:r>
      <w:proofErr w:type="spellStart"/>
      <w:r w:rsidRPr="006F7966">
        <w:t>pourvoi</w:t>
      </w:r>
      <w:proofErr w:type="spellEnd"/>
      <w:r w:rsidRPr="006F7966">
        <w:t xml:space="preserve"> </w:t>
      </w:r>
      <w:proofErr w:type="spellStart"/>
      <w:r w:rsidRPr="006F7966">
        <w:t>en</w:t>
      </w:r>
      <w:proofErr w:type="spellEnd"/>
      <w:r w:rsidRPr="006F7966">
        <w:t xml:space="preserve"> cassation </w:t>
      </w:r>
      <w:proofErr w:type="spellStart"/>
      <w:r w:rsidRPr="006F7966">
        <w:t>compte</w:t>
      </w:r>
      <w:proofErr w:type="spellEnd"/>
      <w:r w:rsidRPr="006F7966">
        <w:t xml:space="preserve"> </w:t>
      </w:r>
      <w:proofErr w:type="spellStart"/>
      <w:r w:rsidRPr="006F7966">
        <w:t>tenu</w:t>
      </w:r>
      <w:proofErr w:type="spellEnd"/>
      <w:r w:rsidRPr="006F7966">
        <w:t xml:space="preserve"> des </w:t>
      </w:r>
      <w:proofErr w:type="spellStart"/>
      <w:r w:rsidRPr="006F7966">
        <w:t>délais</w:t>
      </w:r>
      <w:proofErr w:type="spellEnd"/>
      <w:r w:rsidRPr="006F7966">
        <w:t xml:space="preserve"> de </w:t>
      </w:r>
      <w:proofErr w:type="spellStart"/>
      <w:r w:rsidRPr="006F7966">
        <w:t>jugement</w:t>
      </w:r>
      <w:proofErr w:type="spellEnd"/>
      <w:r w:rsidRPr="006F7966">
        <w:t xml:space="preserve"> </w:t>
      </w:r>
      <w:proofErr w:type="spellStart"/>
      <w:r w:rsidRPr="006F7966">
        <w:t>devant</w:t>
      </w:r>
      <w:proofErr w:type="spellEnd"/>
      <w:r w:rsidRPr="006F7966">
        <w:t xml:space="preserve"> la </w:t>
      </w:r>
      <w:proofErr w:type="spellStart"/>
      <w:r w:rsidRPr="006F7966">
        <w:t>Cour</w:t>
      </w:r>
      <w:proofErr w:type="spellEnd"/>
      <w:r w:rsidRPr="006F7966">
        <w:t xml:space="preserve"> de cassation </w:t>
      </w:r>
      <w:proofErr w:type="spellStart"/>
      <w:r w:rsidRPr="006F7966">
        <w:t>lesquels</w:t>
      </w:r>
      <w:proofErr w:type="spellEnd"/>
      <w:r w:rsidRPr="006F7966">
        <w:t xml:space="preserve"> </w:t>
      </w:r>
      <w:proofErr w:type="spellStart"/>
      <w:r w:rsidRPr="006F7966">
        <w:t>sont</w:t>
      </w:r>
      <w:proofErr w:type="spellEnd"/>
      <w:r w:rsidRPr="006F7966">
        <w:t xml:space="preserve"> incompatibles avec </w:t>
      </w:r>
      <w:proofErr w:type="spellStart"/>
      <w:r w:rsidRPr="006F7966">
        <w:t>l’urgence</w:t>
      </w:r>
      <w:proofErr w:type="spellEnd"/>
      <w:r w:rsidRPr="006F7966">
        <w:t xml:space="preserve"> à </w:t>
      </w:r>
      <w:proofErr w:type="spellStart"/>
      <w:r w:rsidRPr="006F7966">
        <w:t>statuer</w:t>
      </w:r>
      <w:proofErr w:type="spellEnd"/>
      <w:r w:rsidRPr="006F7966">
        <w:t xml:space="preserve"> dans les situations de placement d’enfant (</w:t>
      </w:r>
      <w:r w:rsidRPr="006F7966">
        <w:rPr>
          <w:i/>
          <w:iCs/>
        </w:rPr>
        <w:t>Schmidt</w:t>
      </w:r>
      <w:r w:rsidRPr="006F7966">
        <w:t xml:space="preserve">, </w:t>
      </w:r>
      <w:proofErr w:type="spellStart"/>
      <w:r w:rsidRPr="006F7966">
        <w:t>précité</w:t>
      </w:r>
      <w:proofErr w:type="spellEnd"/>
      <w:r w:rsidRPr="006F7966">
        <w:t>, § 119).</w:t>
      </w:r>
    </w:p>
    <w:p w14:paraId="7450C793" w14:textId="77777777" w:rsidR="00760E8D" w:rsidRPr="006F7966" w:rsidRDefault="00760E8D" w:rsidP="00760E8D">
      <w:pPr>
        <w:pStyle w:val="ECHRPara"/>
        <w:rPr>
          <w:rFonts w:eastAsia="Times New Roman"/>
        </w:rPr>
      </w:pPr>
      <w:r>
        <w:rPr>
          <w:noProof/>
        </w:rPr>
        <w:fldChar w:fldCharType="begin"/>
      </w:r>
      <w:r>
        <w:rPr>
          <w:noProof/>
        </w:rPr>
        <w:instrText xml:space="preserve"> SEQ level0 \*arabic \* MERGEFORMAT </w:instrText>
      </w:r>
      <w:r>
        <w:rPr>
          <w:noProof/>
        </w:rPr>
        <w:fldChar w:fldCharType="separate"/>
      </w:r>
      <w:r w:rsidRPr="006F7966">
        <w:rPr>
          <w:noProof/>
        </w:rPr>
        <w:t>43</w:t>
      </w:r>
      <w:r>
        <w:rPr>
          <w:noProof/>
        </w:rPr>
        <w:fldChar w:fldCharType="end"/>
      </w:r>
      <w:r w:rsidRPr="006F7966">
        <w:t xml:space="preserve">.  La </w:t>
      </w:r>
      <w:proofErr w:type="spellStart"/>
      <w:r w:rsidRPr="006F7966">
        <w:t>Cour</w:t>
      </w:r>
      <w:proofErr w:type="spellEnd"/>
      <w:r w:rsidRPr="006F7966">
        <w:t xml:space="preserve"> </w:t>
      </w:r>
      <w:proofErr w:type="spellStart"/>
      <w:r w:rsidRPr="006F7966">
        <w:t>renvoie</w:t>
      </w:r>
      <w:proofErr w:type="spellEnd"/>
      <w:r w:rsidRPr="006F7966">
        <w:t xml:space="preserve"> aux </w:t>
      </w:r>
      <w:proofErr w:type="spellStart"/>
      <w:r w:rsidRPr="006F7966">
        <w:t>principes</w:t>
      </w:r>
      <w:proofErr w:type="spellEnd"/>
      <w:r w:rsidRPr="006F7966">
        <w:t xml:space="preserve"> </w:t>
      </w:r>
      <w:proofErr w:type="spellStart"/>
      <w:r w:rsidRPr="006F7966">
        <w:t>généraux</w:t>
      </w:r>
      <w:proofErr w:type="spellEnd"/>
      <w:r w:rsidRPr="006F7966">
        <w:t xml:space="preserve"> </w:t>
      </w:r>
      <w:proofErr w:type="spellStart"/>
      <w:r w:rsidRPr="006F7966">
        <w:t>tels</w:t>
      </w:r>
      <w:proofErr w:type="spellEnd"/>
      <w:r w:rsidRPr="006F7966">
        <w:t xml:space="preserve"> </w:t>
      </w:r>
      <w:proofErr w:type="spellStart"/>
      <w:r w:rsidRPr="006F7966">
        <w:t>qu’ils</w:t>
      </w:r>
      <w:proofErr w:type="spellEnd"/>
      <w:r w:rsidRPr="006F7966">
        <w:t xml:space="preserve"> </w:t>
      </w:r>
      <w:proofErr w:type="spellStart"/>
      <w:r w:rsidRPr="006F7966">
        <w:t>sont</w:t>
      </w:r>
      <w:proofErr w:type="spellEnd"/>
      <w:r w:rsidRPr="006F7966">
        <w:t xml:space="preserve"> </w:t>
      </w:r>
      <w:proofErr w:type="spellStart"/>
      <w:r w:rsidRPr="006F7966">
        <w:t>énoncés</w:t>
      </w:r>
      <w:proofErr w:type="spellEnd"/>
      <w:r w:rsidRPr="006F7966">
        <w:t xml:space="preserve"> dans les </w:t>
      </w:r>
      <w:proofErr w:type="spellStart"/>
      <w:r w:rsidRPr="006F7966">
        <w:t>arrêts</w:t>
      </w:r>
      <w:proofErr w:type="spellEnd"/>
      <w:r w:rsidRPr="006F7966">
        <w:t xml:space="preserve"> </w:t>
      </w:r>
      <w:proofErr w:type="spellStart"/>
      <w:r w:rsidRPr="006F7966">
        <w:rPr>
          <w:i/>
        </w:rPr>
        <w:t>Vučković</w:t>
      </w:r>
      <w:proofErr w:type="spellEnd"/>
      <w:r w:rsidRPr="006F7966">
        <w:rPr>
          <w:i/>
        </w:rPr>
        <w:t xml:space="preserve"> et </w:t>
      </w:r>
      <w:proofErr w:type="spellStart"/>
      <w:r w:rsidRPr="006F7966">
        <w:rPr>
          <w:i/>
        </w:rPr>
        <w:t>autres</w:t>
      </w:r>
      <w:proofErr w:type="spellEnd"/>
      <w:r w:rsidRPr="006F7966">
        <w:rPr>
          <w:i/>
        </w:rPr>
        <w:t xml:space="preserve"> c. </w:t>
      </w:r>
      <w:proofErr w:type="spellStart"/>
      <w:r w:rsidRPr="006F7966">
        <w:rPr>
          <w:i/>
        </w:rPr>
        <w:t>Serbie</w:t>
      </w:r>
      <w:proofErr w:type="spellEnd"/>
      <w:r w:rsidRPr="006F7966">
        <w:rPr>
          <w:i/>
        </w:rPr>
        <w:t xml:space="preserve"> </w:t>
      </w:r>
      <w:r w:rsidRPr="006F7966">
        <w:t xml:space="preserve">(exception </w:t>
      </w:r>
      <w:proofErr w:type="spellStart"/>
      <w:r w:rsidRPr="006F7966">
        <w:t>préliminaire</w:t>
      </w:r>
      <w:proofErr w:type="spellEnd"/>
      <w:r w:rsidRPr="006F7966">
        <w:t xml:space="preserve">) [GC], </w:t>
      </w:r>
      <w:proofErr w:type="spellStart"/>
      <w:r w:rsidRPr="006F7966">
        <w:t>n</w:t>
      </w:r>
      <w:r w:rsidRPr="006F7966">
        <w:rPr>
          <w:rFonts w:cs="Times New Roman"/>
          <w:vertAlign w:val="superscript"/>
        </w:rPr>
        <w:t>os</w:t>
      </w:r>
      <w:proofErr w:type="spellEnd"/>
      <w:r w:rsidRPr="006F7966">
        <w:t xml:space="preserve"> 17153/11 et 29 </w:t>
      </w:r>
      <w:proofErr w:type="spellStart"/>
      <w:r w:rsidRPr="006F7966">
        <w:t>autres</w:t>
      </w:r>
      <w:proofErr w:type="spellEnd"/>
      <w:r w:rsidRPr="006F7966">
        <w:t xml:space="preserve">, §§ 69-77, 25 mars 2014) et </w:t>
      </w:r>
      <w:proofErr w:type="spellStart"/>
      <w:r w:rsidRPr="006F7966">
        <w:rPr>
          <w:rFonts w:cstheme="minorHAnsi"/>
          <w:i/>
          <w:color w:val="000000"/>
        </w:rPr>
        <w:t>Selahattin</w:t>
      </w:r>
      <w:proofErr w:type="spellEnd"/>
      <w:r w:rsidRPr="006F7966">
        <w:rPr>
          <w:rFonts w:cstheme="minorHAnsi"/>
          <w:i/>
          <w:color w:val="000000"/>
        </w:rPr>
        <w:t xml:space="preserve"> </w:t>
      </w:r>
      <w:proofErr w:type="spellStart"/>
      <w:r w:rsidRPr="006F7966">
        <w:rPr>
          <w:rFonts w:cstheme="minorHAnsi"/>
          <w:i/>
          <w:color w:val="000000"/>
        </w:rPr>
        <w:t>Demirtaş</w:t>
      </w:r>
      <w:proofErr w:type="spellEnd"/>
      <w:r w:rsidRPr="006F7966">
        <w:rPr>
          <w:rFonts w:cstheme="minorHAnsi"/>
          <w:i/>
          <w:color w:val="000000"/>
        </w:rPr>
        <w:t xml:space="preserve"> c. </w:t>
      </w:r>
      <w:proofErr w:type="spellStart"/>
      <w:r w:rsidRPr="006F7966">
        <w:rPr>
          <w:rFonts w:cstheme="minorHAnsi"/>
          <w:i/>
          <w:color w:val="000000"/>
        </w:rPr>
        <w:t>Turquie</w:t>
      </w:r>
      <w:proofErr w:type="spellEnd"/>
      <w:r w:rsidRPr="006F7966">
        <w:rPr>
          <w:rFonts w:cstheme="minorHAnsi"/>
          <w:i/>
          <w:color w:val="000000"/>
        </w:rPr>
        <w:t xml:space="preserve"> (n</w:t>
      </w:r>
      <w:r w:rsidRPr="006F7966">
        <w:rPr>
          <w:rFonts w:cstheme="minorHAnsi"/>
          <w:i/>
          <w:color w:val="000000"/>
          <w:vertAlign w:val="superscript"/>
        </w:rPr>
        <w:t>o</w:t>
      </w:r>
      <w:r w:rsidRPr="006F7966">
        <w:rPr>
          <w:rFonts w:cstheme="minorHAnsi"/>
          <w:i/>
          <w:color w:val="000000"/>
        </w:rPr>
        <w:t xml:space="preserve"> 2)</w:t>
      </w:r>
      <w:r w:rsidRPr="006F7966">
        <w:rPr>
          <w:rFonts w:cstheme="minorHAnsi"/>
          <w:color w:val="000000"/>
        </w:rPr>
        <w:t xml:space="preserve"> [GC], n</w:t>
      </w:r>
      <w:r w:rsidRPr="006F7966">
        <w:rPr>
          <w:rFonts w:cstheme="minorHAnsi"/>
          <w:color w:val="000000"/>
          <w:vertAlign w:val="superscript"/>
        </w:rPr>
        <w:t>o</w:t>
      </w:r>
      <w:r w:rsidRPr="006F7966">
        <w:rPr>
          <w:rFonts w:cstheme="minorHAnsi"/>
          <w:color w:val="000000"/>
        </w:rPr>
        <w:t xml:space="preserve"> 14305/17, §§ 205 et 206, 22 </w:t>
      </w:r>
      <w:proofErr w:type="spellStart"/>
      <w:r w:rsidRPr="006F7966">
        <w:rPr>
          <w:rFonts w:cstheme="minorHAnsi"/>
          <w:color w:val="000000"/>
        </w:rPr>
        <w:t>décembre</w:t>
      </w:r>
      <w:proofErr w:type="spellEnd"/>
      <w:r w:rsidRPr="006F7966">
        <w:rPr>
          <w:rFonts w:cstheme="minorHAnsi"/>
          <w:color w:val="000000"/>
        </w:rPr>
        <w:t xml:space="preserve"> 2020)</w:t>
      </w:r>
      <w:r w:rsidRPr="006F7966">
        <w:rPr>
          <w:rFonts w:eastAsia="Times New Roman"/>
        </w:rPr>
        <w:t>.</w:t>
      </w:r>
    </w:p>
    <w:p w14:paraId="5A054A23" w14:textId="77777777" w:rsidR="00760E8D" w:rsidRPr="006F7966" w:rsidRDefault="00760E8D" w:rsidP="00760E8D">
      <w:pPr>
        <w:pStyle w:val="ECHRPara"/>
        <w:rPr>
          <w:rFonts w:eastAsia="Times New Roman"/>
        </w:rPr>
      </w:pPr>
      <w:r w:rsidRPr="006F7966">
        <w:rPr>
          <w:rFonts w:eastAsia="Times New Roman"/>
        </w:rPr>
        <w:fldChar w:fldCharType="begin"/>
      </w:r>
      <w:r w:rsidRPr="006F7966">
        <w:rPr>
          <w:rFonts w:eastAsia="Times New Roman"/>
        </w:rPr>
        <w:instrText xml:space="preserve"> SEQ level0 \*arabic \* MERGEFORMAT </w:instrText>
      </w:r>
      <w:r w:rsidRPr="006F7966">
        <w:rPr>
          <w:rFonts w:eastAsia="Times New Roman"/>
        </w:rPr>
        <w:fldChar w:fldCharType="separate"/>
      </w:r>
      <w:r w:rsidRPr="006F7966">
        <w:rPr>
          <w:rFonts w:eastAsia="Times New Roman"/>
          <w:noProof/>
        </w:rPr>
        <w:t>44</w:t>
      </w:r>
      <w:r w:rsidRPr="006F7966">
        <w:rPr>
          <w:rFonts w:eastAsia="Times New Roman"/>
        </w:rPr>
        <w:fldChar w:fldCharType="end"/>
      </w:r>
      <w:r w:rsidRPr="006F7966">
        <w:rPr>
          <w:rFonts w:eastAsia="Times New Roman"/>
        </w:rPr>
        <w:t xml:space="preserve">.  Elle </w:t>
      </w:r>
      <w:proofErr w:type="spellStart"/>
      <w:r w:rsidRPr="006F7966">
        <w:rPr>
          <w:rFonts w:eastAsia="Times New Roman"/>
        </w:rPr>
        <w:t>renvoie</w:t>
      </w:r>
      <w:proofErr w:type="spellEnd"/>
      <w:r w:rsidRPr="006F7966">
        <w:rPr>
          <w:rFonts w:eastAsia="Times New Roman"/>
        </w:rPr>
        <w:t xml:space="preserve"> </w:t>
      </w:r>
      <w:proofErr w:type="spellStart"/>
      <w:r w:rsidRPr="006F7966">
        <w:rPr>
          <w:rFonts w:eastAsia="Times New Roman"/>
        </w:rPr>
        <w:t>également</w:t>
      </w:r>
      <w:proofErr w:type="spellEnd"/>
      <w:r w:rsidRPr="006F7966">
        <w:rPr>
          <w:rFonts w:eastAsia="Times New Roman"/>
        </w:rPr>
        <w:t xml:space="preserve"> à la </w:t>
      </w:r>
      <w:proofErr w:type="spellStart"/>
      <w:r w:rsidRPr="006F7966">
        <w:rPr>
          <w:rFonts w:eastAsia="Times New Roman"/>
        </w:rPr>
        <w:t>décision</w:t>
      </w:r>
      <w:proofErr w:type="spellEnd"/>
      <w:r w:rsidRPr="006F7966">
        <w:rPr>
          <w:rFonts w:eastAsia="Times New Roman"/>
        </w:rPr>
        <w:t xml:space="preserve"> </w:t>
      </w:r>
      <w:proofErr w:type="spellStart"/>
      <w:r w:rsidRPr="006F7966">
        <w:rPr>
          <w:i/>
          <w:iCs/>
        </w:rPr>
        <w:t>Plasse</w:t>
      </w:r>
      <w:proofErr w:type="spellEnd"/>
      <w:r w:rsidRPr="006F7966">
        <w:rPr>
          <w:i/>
          <w:iCs/>
        </w:rPr>
        <w:t>-Bauer</w:t>
      </w:r>
      <w:r w:rsidRPr="006F7966">
        <w:t xml:space="preserve"> et à </w:t>
      </w:r>
      <w:proofErr w:type="spellStart"/>
      <w:r w:rsidRPr="006F7966">
        <w:t>l’arrêt</w:t>
      </w:r>
      <w:proofErr w:type="spellEnd"/>
      <w:r w:rsidRPr="006F7966">
        <w:t xml:space="preserve"> </w:t>
      </w:r>
      <w:r w:rsidRPr="006F7966">
        <w:rPr>
          <w:i/>
          <w:iCs/>
        </w:rPr>
        <w:t>Schmidt</w:t>
      </w:r>
      <w:r w:rsidRPr="006F7966">
        <w:t xml:space="preserve"> </w:t>
      </w:r>
      <w:proofErr w:type="spellStart"/>
      <w:r w:rsidRPr="006F7966">
        <w:t>précités</w:t>
      </w:r>
      <w:proofErr w:type="spellEnd"/>
      <w:r w:rsidRPr="006F7966">
        <w:t xml:space="preserve"> dans </w:t>
      </w:r>
      <w:proofErr w:type="spellStart"/>
      <w:r w:rsidRPr="006F7966">
        <w:t>lesquels</w:t>
      </w:r>
      <w:proofErr w:type="spellEnd"/>
      <w:r w:rsidRPr="006F7966">
        <w:t xml:space="preserve"> </w:t>
      </w:r>
      <w:proofErr w:type="spellStart"/>
      <w:r w:rsidRPr="006F7966">
        <w:t>elle</w:t>
      </w:r>
      <w:proofErr w:type="spellEnd"/>
      <w:r w:rsidRPr="006F7966">
        <w:t xml:space="preserve"> a </w:t>
      </w:r>
      <w:proofErr w:type="spellStart"/>
      <w:r w:rsidRPr="006F7966">
        <w:t>constaté</w:t>
      </w:r>
      <w:proofErr w:type="spellEnd"/>
      <w:r w:rsidRPr="006F7966">
        <w:t xml:space="preserve"> </w:t>
      </w:r>
      <w:proofErr w:type="spellStart"/>
      <w:r w:rsidRPr="006F7966">
        <w:rPr>
          <w:rFonts w:eastAsia="Times New Roman"/>
        </w:rPr>
        <w:t>qu’en</w:t>
      </w:r>
      <w:proofErr w:type="spellEnd"/>
      <w:r w:rsidRPr="006F7966">
        <w:rPr>
          <w:rFonts w:eastAsia="Times New Roman"/>
        </w:rPr>
        <w:t xml:space="preserve"> droit </w:t>
      </w:r>
      <w:proofErr w:type="spellStart"/>
      <w:r w:rsidRPr="006F7966">
        <w:rPr>
          <w:rFonts w:eastAsia="Times New Roman"/>
        </w:rPr>
        <w:t>français</w:t>
      </w:r>
      <w:proofErr w:type="spellEnd"/>
      <w:r w:rsidRPr="006F7966">
        <w:rPr>
          <w:rFonts w:eastAsia="Times New Roman"/>
        </w:rPr>
        <w:t xml:space="preserve">, les </w:t>
      </w:r>
      <w:proofErr w:type="spellStart"/>
      <w:r w:rsidRPr="006F7966">
        <w:rPr>
          <w:rFonts w:eastAsia="Times New Roman"/>
        </w:rPr>
        <w:t>mesures</w:t>
      </w:r>
      <w:proofErr w:type="spellEnd"/>
      <w:r w:rsidRPr="006F7966">
        <w:rPr>
          <w:rFonts w:eastAsia="Times New Roman"/>
        </w:rPr>
        <w:t xml:space="preserve"> </w:t>
      </w:r>
      <w:proofErr w:type="spellStart"/>
      <w:r w:rsidRPr="006F7966">
        <w:rPr>
          <w:rFonts w:eastAsia="Times New Roman"/>
        </w:rPr>
        <w:t>d’assistance</w:t>
      </w:r>
      <w:proofErr w:type="spellEnd"/>
      <w:r w:rsidRPr="006F7966">
        <w:rPr>
          <w:rFonts w:eastAsia="Times New Roman"/>
        </w:rPr>
        <w:t xml:space="preserve"> </w:t>
      </w:r>
      <w:proofErr w:type="spellStart"/>
      <w:r w:rsidRPr="006F7966">
        <w:rPr>
          <w:rFonts w:eastAsia="Times New Roman"/>
        </w:rPr>
        <w:t>éducative</w:t>
      </w:r>
      <w:proofErr w:type="spellEnd"/>
      <w:r w:rsidRPr="006F7966">
        <w:rPr>
          <w:rFonts w:eastAsia="Times New Roman"/>
        </w:rPr>
        <w:t xml:space="preserve"> </w:t>
      </w:r>
      <w:proofErr w:type="spellStart"/>
      <w:r w:rsidRPr="006F7966">
        <w:rPr>
          <w:rFonts w:eastAsia="Times New Roman"/>
        </w:rPr>
        <w:t>concernant</w:t>
      </w:r>
      <w:proofErr w:type="spellEnd"/>
      <w:r w:rsidRPr="006F7966">
        <w:rPr>
          <w:rFonts w:eastAsia="Times New Roman"/>
        </w:rPr>
        <w:t xml:space="preserve"> les mineurs </w:t>
      </w:r>
      <w:proofErr w:type="spellStart"/>
      <w:r w:rsidRPr="006F7966">
        <w:rPr>
          <w:rFonts w:eastAsia="Times New Roman"/>
        </w:rPr>
        <w:t>sont</w:t>
      </w:r>
      <w:proofErr w:type="spellEnd"/>
      <w:r w:rsidRPr="006F7966">
        <w:rPr>
          <w:rFonts w:eastAsia="Times New Roman"/>
        </w:rPr>
        <w:t xml:space="preserve"> prises pour des </w:t>
      </w:r>
      <w:proofErr w:type="spellStart"/>
      <w:r w:rsidRPr="006F7966">
        <w:rPr>
          <w:rFonts w:eastAsia="Times New Roman"/>
        </w:rPr>
        <w:t>périodes</w:t>
      </w:r>
      <w:proofErr w:type="spellEnd"/>
      <w:r w:rsidRPr="006F7966">
        <w:rPr>
          <w:rFonts w:eastAsia="Times New Roman"/>
        </w:rPr>
        <w:t xml:space="preserve"> </w:t>
      </w:r>
      <w:proofErr w:type="spellStart"/>
      <w:r w:rsidRPr="006F7966">
        <w:rPr>
          <w:rFonts w:eastAsia="Times New Roman"/>
        </w:rPr>
        <w:t>déterminées</w:t>
      </w:r>
      <w:proofErr w:type="spellEnd"/>
      <w:r w:rsidRPr="006F7966">
        <w:rPr>
          <w:rFonts w:eastAsia="Times New Roman"/>
        </w:rPr>
        <w:t xml:space="preserve">, </w:t>
      </w:r>
      <w:proofErr w:type="spellStart"/>
      <w:r w:rsidRPr="006F7966">
        <w:rPr>
          <w:rFonts w:eastAsia="Times New Roman"/>
        </w:rPr>
        <w:t>souvent</w:t>
      </w:r>
      <w:proofErr w:type="spellEnd"/>
      <w:r w:rsidRPr="006F7966">
        <w:rPr>
          <w:rFonts w:eastAsia="Times New Roman"/>
        </w:rPr>
        <w:t xml:space="preserve"> </w:t>
      </w:r>
      <w:proofErr w:type="spellStart"/>
      <w:r w:rsidRPr="006F7966">
        <w:rPr>
          <w:rFonts w:eastAsia="Times New Roman"/>
        </w:rPr>
        <w:t>courtes</w:t>
      </w:r>
      <w:proofErr w:type="spellEnd"/>
      <w:r w:rsidRPr="006F7966">
        <w:rPr>
          <w:rFonts w:eastAsia="Times New Roman"/>
        </w:rPr>
        <w:t xml:space="preserve">, </w:t>
      </w:r>
      <w:r w:rsidRPr="006F7966">
        <w:t xml:space="preserve">et </w:t>
      </w:r>
      <w:proofErr w:type="spellStart"/>
      <w:r w:rsidRPr="006F7966">
        <w:t>qu’elles</w:t>
      </w:r>
      <w:proofErr w:type="spellEnd"/>
      <w:r w:rsidRPr="006F7966">
        <w:t xml:space="preserve"> </w:t>
      </w:r>
      <w:proofErr w:type="spellStart"/>
      <w:r w:rsidRPr="006F7966">
        <w:t>peuvent</w:t>
      </w:r>
      <w:proofErr w:type="spellEnd"/>
      <w:r w:rsidRPr="006F7966">
        <w:t xml:space="preserve"> </w:t>
      </w:r>
      <w:proofErr w:type="spellStart"/>
      <w:r w:rsidRPr="006F7966">
        <w:t>être</w:t>
      </w:r>
      <w:proofErr w:type="spellEnd"/>
      <w:r w:rsidRPr="006F7966">
        <w:t xml:space="preserve"> à tout moment </w:t>
      </w:r>
      <w:proofErr w:type="spellStart"/>
      <w:r w:rsidRPr="006F7966">
        <w:t>modifiées</w:t>
      </w:r>
      <w:proofErr w:type="spellEnd"/>
      <w:r w:rsidRPr="006F7966">
        <w:t xml:space="preserve"> </w:t>
      </w:r>
      <w:proofErr w:type="spellStart"/>
      <w:r w:rsidRPr="006F7966">
        <w:t>ou</w:t>
      </w:r>
      <w:proofErr w:type="spellEnd"/>
      <w:r w:rsidRPr="006F7966">
        <w:t xml:space="preserve"> </w:t>
      </w:r>
      <w:proofErr w:type="spellStart"/>
      <w:r w:rsidRPr="006F7966">
        <w:t>rapportées</w:t>
      </w:r>
      <w:proofErr w:type="spellEnd"/>
      <w:r w:rsidRPr="006F7966">
        <w:t xml:space="preserve">, de </w:t>
      </w:r>
      <w:proofErr w:type="spellStart"/>
      <w:r w:rsidRPr="006F7966">
        <w:t>sorte</w:t>
      </w:r>
      <w:proofErr w:type="spellEnd"/>
      <w:r w:rsidRPr="006F7966">
        <w:t xml:space="preserve"> que le </w:t>
      </w:r>
      <w:proofErr w:type="spellStart"/>
      <w:r w:rsidRPr="006F7966">
        <w:t>recours</w:t>
      </w:r>
      <w:proofErr w:type="spellEnd"/>
      <w:r w:rsidRPr="006F7966">
        <w:t xml:space="preserve"> </w:t>
      </w:r>
      <w:proofErr w:type="spellStart"/>
      <w:r w:rsidRPr="006F7966">
        <w:t>en</w:t>
      </w:r>
      <w:proofErr w:type="spellEnd"/>
      <w:r w:rsidRPr="006F7966">
        <w:t xml:space="preserve"> cassation, du fait des </w:t>
      </w:r>
      <w:proofErr w:type="spellStart"/>
      <w:r w:rsidRPr="006F7966">
        <w:t>délais</w:t>
      </w:r>
      <w:proofErr w:type="spellEnd"/>
      <w:r w:rsidRPr="006F7966">
        <w:t xml:space="preserve"> </w:t>
      </w:r>
      <w:proofErr w:type="spellStart"/>
      <w:r w:rsidRPr="006F7966">
        <w:t>relatifs</w:t>
      </w:r>
      <w:proofErr w:type="spellEnd"/>
      <w:r w:rsidRPr="006F7966">
        <w:t xml:space="preserve"> à son examen, </w:t>
      </w:r>
      <w:proofErr w:type="spellStart"/>
      <w:r w:rsidRPr="006F7966">
        <w:t>peut</w:t>
      </w:r>
      <w:proofErr w:type="spellEnd"/>
      <w:r w:rsidRPr="006F7966">
        <w:t xml:space="preserve"> </w:t>
      </w:r>
      <w:proofErr w:type="spellStart"/>
      <w:r w:rsidRPr="006F7966">
        <w:t>manquer</w:t>
      </w:r>
      <w:proofErr w:type="spellEnd"/>
      <w:r w:rsidRPr="006F7966">
        <w:t xml:space="preserve"> </w:t>
      </w:r>
      <w:proofErr w:type="spellStart"/>
      <w:r w:rsidRPr="006F7966">
        <w:t>d’efficacité</w:t>
      </w:r>
      <w:proofErr w:type="spellEnd"/>
      <w:r w:rsidRPr="006F7966">
        <w:t xml:space="preserve"> pour les contester </w:t>
      </w:r>
      <w:proofErr w:type="spellStart"/>
      <w:r w:rsidRPr="006F7966">
        <w:t>en</w:t>
      </w:r>
      <w:proofErr w:type="spellEnd"/>
      <w:r w:rsidRPr="006F7966">
        <w:t xml:space="preserve"> temps utile (</w:t>
      </w:r>
      <w:r w:rsidRPr="006F7966">
        <w:rPr>
          <w:i/>
          <w:iCs/>
        </w:rPr>
        <w:t>Schmidt</w:t>
      </w:r>
      <w:r w:rsidRPr="006F7966">
        <w:t xml:space="preserve">, </w:t>
      </w:r>
      <w:proofErr w:type="spellStart"/>
      <w:r w:rsidRPr="006F7966">
        <w:t>précité</w:t>
      </w:r>
      <w:proofErr w:type="spellEnd"/>
      <w:r w:rsidRPr="006F7966">
        <w:t>, § 115).</w:t>
      </w:r>
    </w:p>
    <w:p w14:paraId="17FA04BF" w14:textId="77777777" w:rsidR="00760E8D" w:rsidRPr="006F7966" w:rsidRDefault="00760E8D" w:rsidP="00760E8D">
      <w:pPr>
        <w:pStyle w:val="ECHRPara"/>
      </w:pPr>
      <w:r w:rsidRPr="006F7966">
        <w:fldChar w:fldCharType="begin"/>
      </w:r>
      <w:r w:rsidRPr="006F7966">
        <w:instrText xml:space="preserve"> SEQ level0 \*arabic </w:instrText>
      </w:r>
      <w:r w:rsidRPr="006F7966">
        <w:fldChar w:fldCharType="separate"/>
      </w:r>
      <w:r w:rsidRPr="006F7966">
        <w:rPr>
          <w:noProof/>
        </w:rPr>
        <w:t>45</w:t>
      </w:r>
      <w:r w:rsidRPr="006F7966">
        <w:fldChar w:fldCharType="end"/>
      </w:r>
      <w:r w:rsidRPr="006F7966">
        <w:t xml:space="preserve">.  La </w:t>
      </w:r>
      <w:proofErr w:type="spellStart"/>
      <w:r w:rsidRPr="006F7966">
        <w:t>Cour</w:t>
      </w:r>
      <w:proofErr w:type="spellEnd"/>
      <w:r w:rsidRPr="006F7966">
        <w:t xml:space="preserve"> </w:t>
      </w:r>
      <w:proofErr w:type="spellStart"/>
      <w:r w:rsidRPr="006F7966">
        <w:t>considère</w:t>
      </w:r>
      <w:proofErr w:type="spellEnd"/>
      <w:r w:rsidRPr="006F7966">
        <w:t xml:space="preserve">, </w:t>
      </w:r>
      <w:proofErr w:type="spellStart"/>
      <w:r w:rsidRPr="006F7966">
        <w:t>ainsi</w:t>
      </w:r>
      <w:proofErr w:type="spellEnd"/>
      <w:r w:rsidRPr="006F7966">
        <w:t xml:space="preserve"> que le </w:t>
      </w:r>
      <w:proofErr w:type="spellStart"/>
      <w:r w:rsidRPr="006F7966">
        <w:t>rappelle</w:t>
      </w:r>
      <w:proofErr w:type="spellEnd"/>
      <w:r w:rsidRPr="006F7966">
        <w:t xml:space="preserve"> le </w:t>
      </w:r>
      <w:proofErr w:type="spellStart"/>
      <w:r w:rsidRPr="006F7966">
        <w:t>Gouvernement</w:t>
      </w:r>
      <w:proofErr w:type="spellEnd"/>
      <w:r w:rsidRPr="006F7966">
        <w:t xml:space="preserve">, que le </w:t>
      </w:r>
      <w:proofErr w:type="spellStart"/>
      <w:r w:rsidRPr="006F7966">
        <w:t>pourvoi</w:t>
      </w:r>
      <w:proofErr w:type="spellEnd"/>
      <w:r w:rsidRPr="006F7966">
        <w:t xml:space="preserve"> </w:t>
      </w:r>
      <w:proofErr w:type="spellStart"/>
      <w:r w:rsidRPr="006F7966">
        <w:t>en</w:t>
      </w:r>
      <w:proofErr w:type="spellEnd"/>
      <w:r w:rsidRPr="006F7966">
        <w:t xml:space="preserve"> cassation </w:t>
      </w:r>
      <w:proofErr w:type="spellStart"/>
      <w:r w:rsidRPr="006F7966">
        <w:t>constitue</w:t>
      </w:r>
      <w:proofErr w:type="spellEnd"/>
      <w:r w:rsidRPr="006F7966">
        <w:t xml:space="preserve"> </w:t>
      </w:r>
      <w:proofErr w:type="spellStart"/>
      <w:r w:rsidRPr="006F7966">
        <w:t>en</w:t>
      </w:r>
      <w:proofErr w:type="spellEnd"/>
      <w:r w:rsidRPr="006F7966">
        <w:t xml:space="preserve"> </w:t>
      </w:r>
      <w:proofErr w:type="spellStart"/>
      <w:r w:rsidRPr="006F7966">
        <w:t>principe</w:t>
      </w:r>
      <w:proofErr w:type="spellEnd"/>
      <w:r w:rsidRPr="006F7966">
        <w:t xml:space="preserve"> </w:t>
      </w:r>
      <w:proofErr w:type="spellStart"/>
      <w:r w:rsidRPr="006F7966">
        <w:t>une</w:t>
      </w:r>
      <w:proofErr w:type="spellEnd"/>
      <w:r w:rsidRPr="006F7966">
        <w:t xml:space="preserve"> </w:t>
      </w:r>
      <w:proofErr w:type="spellStart"/>
      <w:r w:rsidRPr="006F7966">
        <w:t>voie</w:t>
      </w:r>
      <w:proofErr w:type="spellEnd"/>
      <w:r w:rsidRPr="006F7966">
        <w:t xml:space="preserve"> de </w:t>
      </w:r>
      <w:proofErr w:type="spellStart"/>
      <w:r w:rsidRPr="006F7966">
        <w:t>recours</w:t>
      </w:r>
      <w:proofErr w:type="spellEnd"/>
      <w:r w:rsidRPr="006F7966">
        <w:t xml:space="preserve"> à </w:t>
      </w:r>
      <w:proofErr w:type="spellStart"/>
      <w:r w:rsidRPr="006F7966">
        <w:t>épuiser</w:t>
      </w:r>
      <w:proofErr w:type="spellEnd"/>
      <w:r w:rsidRPr="006F7966">
        <w:t xml:space="preserve">. Elle </w:t>
      </w:r>
      <w:proofErr w:type="spellStart"/>
      <w:r w:rsidRPr="006F7966">
        <w:t>rappelle</w:t>
      </w:r>
      <w:proofErr w:type="spellEnd"/>
      <w:r w:rsidRPr="006F7966">
        <w:t xml:space="preserve"> </w:t>
      </w:r>
      <w:proofErr w:type="spellStart"/>
      <w:r w:rsidRPr="006F7966">
        <w:t>qu’il</w:t>
      </w:r>
      <w:proofErr w:type="spellEnd"/>
      <w:r w:rsidRPr="006F7966">
        <w:t xml:space="preserve"> figure </w:t>
      </w:r>
      <w:proofErr w:type="spellStart"/>
      <w:r w:rsidRPr="006F7966">
        <w:t>parmi</w:t>
      </w:r>
      <w:proofErr w:type="spellEnd"/>
      <w:r w:rsidRPr="006F7966">
        <w:t xml:space="preserve"> les </w:t>
      </w:r>
      <w:proofErr w:type="spellStart"/>
      <w:r w:rsidRPr="006F7966">
        <w:t>procédures</w:t>
      </w:r>
      <w:proofErr w:type="spellEnd"/>
      <w:r w:rsidRPr="006F7966">
        <w:t xml:space="preserve"> </w:t>
      </w:r>
      <w:proofErr w:type="spellStart"/>
      <w:r w:rsidRPr="006F7966">
        <w:t>dont</w:t>
      </w:r>
      <w:proofErr w:type="spellEnd"/>
      <w:r w:rsidRPr="006F7966">
        <w:t xml:space="preserve"> il doit </w:t>
      </w:r>
      <w:proofErr w:type="spellStart"/>
      <w:r w:rsidRPr="006F7966">
        <w:t>ordinairement</w:t>
      </w:r>
      <w:proofErr w:type="spellEnd"/>
      <w:r w:rsidRPr="006F7966">
        <w:t xml:space="preserve"> </w:t>
      </w:r>
      <w:proofErr w:type="spellStart"/>
      <w:r w:rsidRPr="006F7966">
        <w:t>être</w:t>
      </w:r>
      <w:proofErr w:type="spellEnd"/>
      <w:r w:rsidRPr="006F7966">
        <w:t xml:space="preserve"> fait usage pour se conformer à </w:t>
      </w:r>
      <w:proofErr w:type="spellStart"/>
      <w:r w:rsidRPr="006F7966">
        <w:t>l’article</w:t>
      </w:r>
      <w:proofErr w:type="spellEnd"/>
      <w:r w:rsidRPr="006F7966">
        <w:t xml:space="preserve"> 35 de la Convention (</w:t>
      </w:r>
      <w:proofErr w:type="spellStart"/>
      <w:r w:rsidRPr="006F7966">
        <w:t>voir</w:t>
      </w:r>
      <w:proofErr w:type="spellEnd"/>
      <w:r w:rsidRPr="006F7966">
        <w:t xml:space="preserve">, par </w:t>
      </w:r>
      <w:proofErr w:type="spellStart"/>
      <w:r w:rsidRPr="006F7966">
        <w:t>exemple</w:t>
      </w:r>
      <w:proofErr w:type="spellEnd"/>
      <w:r w:rsidRPr="006F7966">
        <w:t xml:space="preserve">, </w:t>
      </w:r>
      <w:proofErr w:type="spellStart"/>
      <w:r w:rsidRPr="006F7966">
        <w:rPr>
          <w:i/>
        </w:rPr>
        <w:t>Winterstein</w:t>
      </w:r>
      <w:proofErr w:type="spellEnd"/>
      <w:r w:rsidRPr="006F7966">
        <w:rPr>
          <w:i/>
        </w:rPr>
        <w:t xml:space="preserve"> et </w:t>
      </w:r>
      <w:proofErr w:type="spellStart"/>
      <w:r w:rsidRPr="006F7966">
        <w:rPr>
          <w:i/>
        </w:rPr>
        <w:t>autres</w:t>
      </w:r>
      <w:proofErr w:type="spellEnd"/>
      <w:r w:rsidRPr="006F7966">
        <w:rPr>
          <w:i/>
        </w:rPr>
        <w:t xml:space="preserve"> c. France</w:t>
      </w:r>
      <w:r w:rsidRPr="006F7966">
        <w:rPr>
          <w:snapToGrid w:val="0"/>
        </w:rPr>
        <w:t>, n</w:t>
      </w:r>
      <w:r w:rsidRPr="006F7966">
        <w:rPr>
          <w:snapToGrid w:val="0"/>
          <w:vertAlign w:val="superscript"/>
        </w:rPr>
        <w:t>o</w:t>
      </w:r>
      <w:r w:rsidRPr="006F7966">
        <w:rPr>
          <w:snapToGrid w:val="0"/>
        </w:rPr>
        <w:t xml:space="preserve"> </w:t>
      </w:r>
      <w:r w:rsidRPr="006F7966">
        <w:t>27013/07</w:t>
      </w:r>
      <w:r w:rsidRPr="006F7966">
        <w:rPr>
          <w:snapToGrid w:val="0"/>
        </w:rPr>
        <w:t>, § 117, 17 </w:t>
      </w:r>
      <w:proofErr w:type="spellStart"/>
      <w:r w:rsidRPr="006F7966">
        <w:t>octobre</w:t>
      </w:r>
      <w:proofErr w:type="spellEnd"/>
      <w:r w:rsidRPr="006F7966">
        <w:rPr>
          <w:snapToGrid w:val="0"/>
        </w:rPr>
        <w:t xml:space="preserve"> 2013</w:t>
      </w:r>
      <w:r w:rsidRPr="006F7966">
        <w:t xml:space="preserve">, </w:t>
      </w:r>
      <w:r w:rsidRPr="006F7966">
        <w:rPr>
          <w:i/>
        </w:rPr>
        <w:t>Civet c. France</w:t>
      </w:r>
      <w:r w:rsidRPr="006F7966">
        <w:t xml:space="preserve"> [GC], n</w:t>
      </w:r>
      <w:r w:rsidRPr="006F7966">
        <w:rPr>
          <w:vertAlign w:val="superscript"/>
        </w:rPr>
        <w:t>o</w:t>
      </w:r>
      <w:r w:rsidRPr="006F7966">
        <w:t xml:space="preserve"> 29340/95, § 41, CEDH 1999</w:t>
      </w:r>
      <w:r w:rsidRPr="006F7966">
        <w:noBreakHyphen/>
        <w:t xml:space="preserve">VI). La </w:t>
      </w:r>
      <w:proofErr w:type="spellStart"/>
      <w:r w:rsidRPr="006F7966">
        <w:t>Cour</w:t>
      </w:r>
      <w:proofErr w:type="spellEnd"/>
      <w:r w:rsidRPr="006F7966">
        <w:t xml:space="preserve"> de cassation </w:t>
      </w:r>
      <w:proofErr w:type="spellStart"/>
      <w:r w:rsidRPr="006F7966">
        <w:t>contrôle</w:t>
      </w:r>
      <w:proofErr w:type="spellEnd"/>
      <w:r w:rsidRPr="006F7966">
        <w:t xml:space="preserve">, </w:t>
      </w:r>
      <w:proofErr w:type="spellStart"/>
      <w:r w:rsidRPr="006F7966">
        <w:t>en</w:t>
      </w:r>
      <w:proofErr w:type="spellEnd"/>
      <w:r w:rsidRPr="006F7966">
        <w:t xml:space="preserve"> </w:t>
      </w:r>
      <w:proofErr w:type="spellStart"/>
      <w:r w:rsidRPr="006F7966">
        <w:t>considération</w:t>
      </w:r>
      <w:proofErr w:type="spellEnd"/>
      <w:r w:rsidRPr="006F7966">
        <w:t xml:space="preserve"> de </w:t>
      </w:r>
      <w:proofErr w:type="spellStart"/>
      <w:r w:rsidRPr="006F7966">
        <w:t>l’intérêt</w:t>
      </w:r>
      <w:proofErr w:type="spellEnd"/>
      <w:r w:rsidRPr="006F7966">
        <w:t xml:space="preserve"> de </w:t>
      </w:r>
      <w:proofErr w:type="spellStart"/>
      <w:r w:rsidRPr="006F7966">
        <w:t>l’enfant</w:t>
      </w:r>
      <w:proofErr w:type="spellEnd"/>
      <w:r w:rsidRPr="006F7966">
        <w:t xml:space="preserve">, la justification et la motivation des </w:t>
      </w:r>
      <w:proofErr w:type="spellStart"/>
      <w:r w:rsidRPr="006F7966">
        <w:t>mesures</w:t>
      </w:r>
      <w:proofErr w:type="spellEnd"/>
      <w:r w:rsidRPr="006F7966">
        <w:t xml:space="preserve"> de placement et de </w:t>
      </w:r>
      <w:proofErr w:type="spellStart"/>
      <w:r w:rsidRPr="006F7966">
        <w:t>celles</w:t>
      </w:r>
      <w:proofErr w:type="spellEnd"/>
      <w:r w:rsidRPr="006F7966">
        <w:t xml:space="preserve"> qui </w:t>
      </w:r>
      <w:proofErr w:type="spellStart"/>
      <w:r w:rsidRPr="006F7966">
        <w:t>l’accompagnent</w:t>
      </w:r>
      <w:proofErr w:type="spellEnd"/>
      <w:r w:rsidRPr="006F7966">
        <w:t xml:space="preserve">, et doit </w:t>
      </w:r>
      <w:proofErr w:type="spellStart"/>
      <w:r w:rsidRPr="006F7966">
        <w:t>être</w:t>
      </w:r>
      <w:proofErr w:type="spellEnd"/>
      <w:r w:rsidRPr="006F7966">
        <w:t xml:space="preserve"> </w:t>
      </w:r>
      <w:proofErr w:type="spellStart"/>
      <w:r w:rsidRPr="006F7966">
        <w:t>saisie</w:t>
      </w:r>
      <w:proofErr w:type="spellEnd"/>
      <w:r w:rsidRPr="006F7966">
        <w:t xml:space="preserve"> des griefs </w:t>
      </w:r>
      <w:proofErr w:type="spellStart"/>
      <w:r w:rsidRPr="006F7966">
        <w:t>tirés</w:t>
      </w:r>
      <w:proofErr w:type="spellEnd"/>
      <w:r w:rsidRPr="006F7966">
        <w:t xml:space="preserve"> de la Convention </w:t>
      </w:r>
      <w:proofErr w:type="spellStart"/>
      <w:r w:rsidRPr="006F7966">
        <w:t>susceptibles</w:t>
      </w:r>
      <w:proofErr w:type="spellEnd"/>
      <w:r w:rsidRPr="006F7966">
        <w:t xml:space="preserve"> d’être ensuite </w:t>
      </w:r>
      <w:proofErr w:type="spellStart"/>
      <w:r w:rsidRPr="006F7966">
        <w:t>soumis</w:t>
      </w:r>
      <w:proofErr w:type="spellEnd"/>
      <w:r w:rsidRPr="006F7966">
        <w:t xml:space="preserve"> à la </w:t>
      </w:r>
      <w:proofErr w:type="spellStart"/>
      <w:r w:rsidRPr="006F7966">
        <w:t>Cour</w:t>
      </w:r>
      <w:proofErr w:type="spellEnd"/>
      <w:r w:rsidRPr="006F7966">
        <w:t xml:space="preserve">. </w:t>
      </w:r>
      <w:proofErr w:type="spellStart"/>
      <w:r w:rsidRPr="006F7966">
        <w:t>Toutefois</w:t>
      </w:r>
      <w:proofErr w:type="spellEnd"/>
      <w:r w:rsidRPr="006F7966">
        <w:t xml:space="preserve">, </w:t>
      </w:r>
      <w:proofErr w:type="spellStart"/>
      <w:r w:rsidRPr="006F7966">
        <w:t>en</w:t>
      </w:r>
      <w:proofErr w:type="spellEnd"/>
      <w:r w:rsidRPr="006F7966">
        <w:t xml:space="preserve"> </w:t>
      </w:r>
      <w:proofErr w:type="spellStart"/>
      <w:r w:rsidRPr="006F7966">
        <w:t>l’espèce</w:t>
      </w:r>
      <w:proofErr w:type="spellEnd"/>
      <w:r w:rsidRPr="006F7966">
        <w:t xml:space="preserve">, la </w:t>
      </w:r>
      <w:proofErr w:type="spellStart"/>
      <w:r w:rsidRPr="006F7966">
        <w:t>Cour</w:t>
      </w:r>
      <w:proofErr w:type="spellEnd"/>
      <w:r w:rsidRPr="006F7966">
        <w:t xml:space="preserve"> observe que les </w:t>
      </w:r>
      <w:proofErr w:type="spellStart"/>
      <w:r w:rsidRPr="006F7966">
        <w:t>mesures</w:t>
      </w:r>
      <w:proofErr w:type="spellEnd"/>
      <w:r w:rsidRPr="006F7966">
        <w:t xml:space="preserve"> de placement </w:t>
      </w:r>
      <w:proofErr w:type="spellStart"/>
      <w:r w:rsidRPr="006F7966">
        <w:t>ordonnées</w:t>
      </w:r>
      <w:proofErr w:type="spellEnd"/>
      <w:r w:rsidRPr="006F7966">
        <w:t xml:space="preserve"> </w:t>
      </w:r>
      <w:proofErr w:type="spellStart"/>
      <w:r w:rsidRPr="006F7966">
        <w:t>ont</w:t>
      </w:r>
      <w:proofErr w:type="spellEnd"/>
      <w:r w:rsidRPr="006F7966">
        <w:t xml:space="preserve"> </w:t>
      </w:r>
      <w:proofErr w:type="spellStart"/>
      <w:r w:rsidRPr="006F7966">
        <w:t>été</w:t>
      </w:r>
      <w:proofErr w:type="spellEnd"/>
      <w:r w:rsidRPr="006F7966">
        <w:t xml:space="preserve"> prises pour </w:t>
      </w:r>
      <w:proofErr w:type="spellStart"/>
      <w:r w:rsidRPr="006F7966">
        <w:t>une</w:t>
      </w:r>
      <w:proofErr w:type="spellEnd"/>
      <w:r w:rsidRPr="006F7966">
        <w:t xml:space="preserve"> durée de six </w:t>
      </w:r>
      <w:proofErr w:type="spellStart"/>
      <w:r w:rsidRPr="006F7966">
        <w:t>mois</w:t>
      </w:r>
      <w:proofErr w:type="spellEnd"/>
      <w:r w:rsidRPr="006F7966">
        <w:t xml:space="preserve"> et </w:t>
      </w:r>
      <w:proofErr w:type="spellStart"/>
      <w:r w:rsidRPr="006F7966">
        <w:t>qu’elles</w:t>
      </w:r>
      <w:proofErr w:type="spellEnd"/>
      <w:r w:rsidRPr="006F7966">
        <w:t xml:space="preserve"> </w:t>
      </w:r>
      <w:proofErr w:type="spellStart"/>
      <w:r w:rsidRPr="006F7966">
        <w:t>ont</w:t>
      </w:r>
      <w:proofErr w:type="spellEnd"/>
      <w:r w:rsidRPr="006F7966">
        <w:t xml:space="preserve"> </w:t>
      </w:r>
      <w:proofErr w:type="spellStart"/>
      <w:r w:rsidRPr="006F7966">
        <w:t>été</w:t>
      </w:r>
      <w:proofErr w:type="spellEnd"/>
      <w:r w:rsidRPr="006F7966">
        <w:t xml:space="preserve"> </w:t>
      </w:r>
      <w:proofErr w:type="spellStart"/>
      <w:r w:rsidRPr="006F7966">
        <w:t>systématiquement</w:t>
      </w:r>
      <w:proofErr w:type="spellEnd"/>
      <w:r w:rsidRPr="006F7966">
        <w:t xml:space="preserve"> </w:t>
      </w:r>
      <w:proofErr w:type="spellStart"/>
      <w:r w:rsidRPr="006F7966">
        <w:t>contestées</w:t>
      </w:r>
      <w:proofErr w:type="spellEnd"/>
      <w:r w:rsidRPr="006F7966">
        <w:t xml:space="preserve"> </w:t>
      </w:r>
      <w:proofErr w:type="spellStart"/>
      <w:r w:rsidRPr="006F7966">
        <w:t>en</w:t>
      </w:r>
      <w:proofErr w:type="spellEnd"/>
      <w:r w:rsidRPr="006F7966">
        <w:t xml:space="preserve"> </w:t>
      </w:r>
      <w:proofErr w:type="spellStart"/>
      <w:r w:rsidRPr="006F7966">
        <w:t>appel</w:t>
      </w:r>
      <w:proofErr w:type="spellEnd"/>
      <w:r w:rsidRPr="006F7966">
        <w:t xml:space="preserve">, de </w:t>
      </w:r>
      <w:proofErr w:type="spellStart"/>
      <w:r w:rsidRPr="006F7966">
        <w:t>sorte</w:t>
      </w:r>
      <w:proofErr w:type="spellEnd"/>
      <w:r w:rsidRPr="006F7966">
        <w:t xml:space="preserve"> que le </w:t>
      </w:r>
      <w:proofErr w:type="spellStart"/>
      <w:r w:rsidRPr="006F7966">
        <w:t>délai</w:t>
      </w:r>
      <w:proofErr w:type="spellEnd"/>
      <w:r w:rsidRPr="006F7966">
        <w:t xml:space="preserve"> </w:t>
      </w:r>
      <w:proofErr w:type="spellStart"/>
      <w:r w:rsidRPr="006F7966">
        <w:t>séparant</w:t>
      </w:r>
      <w:proofErr w:type="spellEnd"/>
      <w:r w:rsidRPr="006F7966">
        <w:t xml:space="preserve"> la date des </w:t>
      </w:r>
      <w:proofErr w:type="spellStart"/>
      <w:r w:rsidRPr="006F7966">
        <w:t>arrêts</w:t>
      </w:r>
      <w:proofErr w:type="spellEnd"/>
      <w:r w:rsidRPr="006F7966">
        <w:t xml:space="preserve"> de la </w:t>
      </w:r>
      <w:proofErr w:type="spellStart"/>
      <w:r w:rsidRPr="006F7966">
        <w:t>cour</w:t>
      </w:r>
      <w:proofErr w:type="spellEnd"/>
      <w:r w:rsidRPr="006F7966">
        <w:t xml:space="preserve"> </w:t>
      </w:r>
      <w:proofErr w:type="spellStart"/>
      <w:r w:rsidRPr="006F7966">
        <w:t>d’appel</w:t>
      </w:r>
      <w:proofErr w:type="spellEnd"/>
      <w:r w:rsidRPr="006F7966">
        <w:t xml:space="preserve"> et la date de la fin de </w:t>
      </w:r>
      <w:proofErr w:type="spellStart"/>
      <w:r w:rsidRPr="006F7966">
        <w:t>ces</w:t>
      </w:r>
      <w:proofErr w:type="spellEnd"/>
      <w:r w:rsidRPr="006F7966">
        <w:t xml:space="preserve"> </w:t>
      </w:r>
      <w:proofErr w:type="spellStart"/>
      <w:r w:rsidRPr="006F7966">
        <w:t>mesures</w:t>
      </w:r>
      <w:proofErr w:type="spellEnd"/>
      <w:r w:rsidRPr="006F7966">
        <w:t xml:space="preserve"> </w:t>
      </w:r>
      <w:proofErr w:type="spellStart"/>
      <w:r w:rsidRPr="006F7966">
        <w:t>était</w:t>
      </w:r>
      <w:proofErr w:type="spellEnd"/>
      <w:r w:rsidRPr="006F7966">
        <w:t xml:space="preserve"> </w:t>
      </w:r>
      <w:proofErr w:type="spellStart"/>
      <w:r w:rsidRPr="006F7966">
        <w:t>bref</w:t>
      </w:r>
      <w:proofErr w:type="spellEnd"/>
      <w:r w:rsidRPr="006F7966">
        <w:t xml:space="preserve">, environ deux </w:t>
      </w:r>
      <w:proofErr w:type="spellStart"/>
      <w:r w:rsidRPr="006F7966">
        <w:t>ou</w:t>
      </w:r>
      <w:proofErr w:type="spellEnd"/>
      <w:r w:rsidRPr="006F7966">
        <w:t xml:space="preserve"> trois </w:t>
      </w:r>
      <w:proofErr w:type="spellStart"/>
      <w:r w:rsidRPr="006F7966">
        <w:t>mois</w:t>
      </w:r>
      <w:proofErr w:type="spellEnd"/>
      <w:r w:rsidRPr="006F7966">
        <w:t xml:space="preserve">, et </w:t>
      </w:r>
      <w:proofErr w:type="spellStart"/>
      <w:r w:rsidRPr="006F7966">
        <w:t>rendait</w:t>
      </w:r>
      <w:proofErr w:type="spellEnd"/>
      <w:r w:rsidRPr="006F7966">
        <w:t xml:space="preserve"> </w:t>
      </w:r>
      <w:proofErr w:type="spellStart"/>
      <w:r w:rsidRPr="006F7966">
        <w:t>ainsi</w:t>
      </w:r>
      <w:proofErr w:type="spellEnd"/>
      <w:r w:rsidRPr="006F7966">
        <w:t xml:space="preserve"> vain la </w:t>
      </w:r>
      <w:proofErr w:type="spellStart"/>
      <w:r w:rsidRPr="006F7966">
        <w:t>présentation</w:t>
      </w:r>
      <w:proofErr w:type="spellEnd"/>
      <w:r w:rsidRPr="006F7966">
        <w:t xml:space="preserve"> d’un </w:t>
      </w:r>
      <w:proofErr w:type="spellStart"/>
      <w:r w:rsidRPr="006F7966">
        <w:t>pourvoi</w:t>
      </w:r>
      <w:proofErr w:type="spellEnd"/>
      <w:r w:rsidRPr="006F7966">
        <w:t xml:space="preserve"> </w:t>
      </w:r>
      <w:proofErr w:type="spellStart"/>
      <w:r w:rsidRPr="006F7966">
        <w:t>en</w:t>
      </w:r>
      <w:proofErr w:type="spellEnd"/>
      <w:r w:rsidRPr="006F7966">
        <w:t xml:space="preserve"> cassation </w:t>
      </w:r>
      <w:proofErr w:type="spellStart"/>
      <w:r w:rsidRPr="006F7966">
        <w:t>contre</w:t>
      </w:r>
      <w:proofErr w:type="spellEnd"/>
      <w:r w:rsidRPr="006F7966">
        <w:t xml:space="preserve"> </w:t>
      </w:r>
      <w:proofErr w:type="spellStart"/>
      <w:r w:rsidRPr="006F7966">
        <w:t>ces</w:t>
      </w:r>
      <w:proofErr w:type="spellEnd"/>
      <w:r w:rsidRPr="006F7966">
        <w:t xml:space="preserve"> </w:t>
      </w:r>
      <w:proofErr w:type="spellStart"/>
      <w:r w:rsidRPr="006F7966">
        <w:t>arrêts</w:t>
      </w:r>
      <w:proofErr w:type="spellEnd"/>
      <w:r w:rsidRPr="006F7966">
        <w:t xml:space="preserve"> </w:t>
      </w:r>
      <w:proofErr w:type="spellStart"/>
      <w:r w:rsidRPr="006F7966">
        <w:t>dépourvu</w:t>
      </w:r>
      <w:proofErr w:type="spellEnd"/>
      <w:r w:rsidRPr="006F7966">
        <w:t xml:space="preserve"> </w:t>
      </w:r>
      <w:proofErr w:type="spellStart"/>
      <w:r w:rsidRPr="006F7966">
        <w:t>d’efficacité</w:t>
      </w:r>
      <w:proofErr w:type="spellEnd"/>
      <w:r w:rsidRPr="006F7966">
        <w:t xml:space="preserve"> pour les contester </w:t>
      </w:r>
      <w:proofErr w:type="spellStart"/>
      <w:r w:rsidRPr="006F7966">
        <w:t>en</w:t>
      </w:r>
      <w:proofErr w:type="spellEnd"/>
      <w:r w:rsidRPr="006F7966">
        <w:t xml:space="preserve"> temps utile. </w:t>
      </w:r>
      <w:bookmarkStart w:id="8" w:name="_Hlk87265125"/>
      <w:r w:rsidRPr="006F7966">
        <w:t xml:space="preserve">Dans </w:t>
      </w:r>
      <w:proofErr w:type="spellStart"/>
      <w:r w:rsidRPr="006F7966">
        <w:t>ces</w:t>
      </w:r>
      <w:proofErr w:type="spellEnd"/>
      <w:r w:rsidRPr="006F7966">
        <w:t xml:space="preserve"> </w:t>
      </w:r>
      <w:proofErr w:type="spellStart"/>
      <w:r w:rsidRPr="006F7966">
        <w:t>circonstances</w:t>
      </w:r>
      <w:proofErr w:type="spellEnd"/>
      <w:r w:rsidRPr="006F7966">
        <w:t xml:space="preserve">, la </w:t>
      </w:r>
      <w:proofErr w:type="spellStart"/>
      <w:r w:rsidRPr="006F7966">
        <w:t>Cour</w:t>
      </w:r>
      <w:proofErr w:type="spellEnd"/>
      <w:r w:rsidRPr="006F7966">
        <w:t xml:space="preserve"> ne </w:t>
      </w:r>
      <w:proofErr w:type="spellStart"/>
      <w:r w:rsidRPr="006F7966">
        <w:t>voit</w:t>
      </w:r>
      <w:proofErr w:type="spellEnd"/>
      <w:r w:rsidRPr="006F7966">
        <w:t xml:space="preserve"> </w:t>
      </w:r>
      <w:proofErr w:type="spellStart"/>
      <w:r w:rsidRPr="006F7966">
        <w:t>aucune</w:t>
      </w:r>
      <w:proofErr w:type="spellEnd"/>
      <w:r w:rsidRPr="006F7966">
        <w:t xml:space="preserve"> raison de </w:t>
      </w:r>
      <w:proofErr w:type="spellStart"/>
      <w:r w:rsidRPr="006F7966">
        <w:t>s’écarter</w:t>
      </w:r>
      <w:proofErr w:type="spellEnd"/>
      <w:r w:rsidRPr="006F7966">
        <w:t xml:space="preserve"> de la jurisprudence </w:t>
      </w:r>
      <w:proofErr w:type="spellStart"/>
      <w:r w:rsidRPr="006F7966">
        <w:t>citée</w:t>
      </w:r>
      <w:proofErr w:type="spellEnd"/>
      <w:r w:rsidRPr="006F7966">
        <w:t xml:space="preserve"> au </w:t>
      </w:r>
      <w:proofErr w:type="spellStart"/>
      <w:r w:rsidRPr="006F7966">
        <w:t>paragraphe</w:t>
      </w:r>
      <w:proofErr w:type="spellEnd"/>
      <w:r w:rsidRPr="006F7966">
        <w:t xml:space="preserve"> </w:t>
      </w:r>
      <w:proofErr w:type="spellStart"/>
      <w:r w:rsidRPr="006F7966">
        <w:t>précédent</w:t>
      </w:r>
      <w:proofErr w:type="spellEnd"/>
      <w:r w:rsidRPr="006F7966">
        <w:t xml:space="preserve">. Elle </w:t>
      </w:r>
      <w:proofErr w:type="spellStart"/>
      <w:r w:rsidRPr="006F7966">
        <w:t>relève</w:t>
      </w:r>
      <w:proofErr w:type="spellEnd"/>
      <w:r w:rsidRPr="006F7966">
        <w:t xml:space="preserve"> </w:t>
      </w:r>
      <w:proofErr w:type="spellStart"/>
      <w:r w:rsidRPr="006F7966">
        <w:t>en</w:t>
      </w:r>
      <w:proofErr w:type="spellEnd"/>
      <w:r w:rsidRPr="006F7966">
        <w:t xml:space="preserve"> </w:t>
      </w:r>
      <w:proofErr w:type="spellStart"/>
      <w:r w:rsidRPr="006F7966">
        <w:t>outre</w:t>
      </w:r>
      <w:proofErr w:type="spellEnd"/>
      <w:r w:rsidRPr="006F7966">
        <w:t xml:space="preserve"> que la </w:t>
      </w:r>
      <w:proofErr w:type="spellStart"/>
      <w:r w:rsidRPr="006F7966">
        <w:t>requérante</w:t>
      </w:r>
      <w:proofErr w:type="spellEnd"/>
      <w:r w:rsidRPr="006F7966">
        <w:t xml:space="preserve"> </w:t>
      </w:r>
      <w:proofErr w:type="gramStart"/>
      <w:r w:rsidRPr="006F7966">
        <w:t>a</w:t>
      </w:r>
      <w:proofErr w:type="gramEnd"/>
      <w:r w:rsidRPr="006F7966">
        <w:t xml:space="preserve"> </w:t>
      </w:r>
      <w:proofErr w:type="spellStart"/>
      <w:r w:rsidRPr="006F7966">
        <w:t>invoqué</w:t>
      </w:r>
      <w:proofErr w:type="spellEnd"/>
      <w:r w:rsidRPr="006F7966">
        <w:t xml:space="preserve"> </w:t>
      </w:r>
      <w:proofErr w:type="spellStart"/>
      <w:r w:rsidRPr="006F7966">
        <w:t>devant</w:t>
      </w:r>
      <w:proofErr w:type="spellEnd"/>
      <w:r w:rsidRPr="006F7966">
        <w:t xml:space="preserve"> les </w:t>
      </w:r>
      <w:proofErr w:type="spellStart"/>
      <w:r w:rsidRPr="006F7966">
        <w:t>juges</w:t>
      </w:r>
      <w:proofErr w:type="spellEnd"/>
      <w:r w:rsidRPr="006F7966">
        <w:t xml:space="preserve"> du fond les violations de la Convention </w:t>
      </w:r>
      <w:proofErr w:type="spellStart"/>
      <w:r w:rsidRPr="006F7966">
        <w:t>qu’elle</w:t>
      </w:r>
      <w:proofErr w:type="spellEnd"/>
      <w:r w:rsidRPr="006F7966">
        <w:t xml:space="preserve"> </w:t>
      </w:r>
      <w:proofErr w:type="spellStart"/>
      <w:r w:rsidRPr="006F7966">
        <w:t>soulève</w:t>
      </w:r>
      <w:proofErr w:type="spellEnd"/>
      <w:r w:rsidRPr="006F7966">
        <w:t xml:space="preserve"> </w:t>
      </w:r>
      <w:proofErr w:type="spellStart"/>
      <w:r w:rsidRPr="006F7966">
        <w:t>devant</w:t>
      </w:r>
      <w:proofErr w:type="spellEnd"/>
      <w:r w:rsidRPr="006F7966">
        <w:t xml:space="preserve"> </w:t>
      </w:r>
      <w:proofErr w:type="spellStart"/>
      <w:r w:rsidRPr="006F7966">
        <w:t>elle</w:t>
      </w:r>
      <w:proofErr w:type="spellEnd"/>
      <w:r w:rsidRPr="006F7966">
        <w:t xml:space="preserve">. La </w:t>
      </w:r>
      <w:proofErr w:type="spellStart"/>
      <w:r w:rsidRPr="006F7966">
        <w:t>Cour</w:t>
      </w:r>
      <w:proofErr w:type="spellEnd"/>
      <w:r w:rsidRPr="006F7966">
        <w:t xml:space="preserve"> </w:t>
      </w:r>
      <w:proofErr w:type="spellStart"/>
      <w:r w:rsidRPr="006F7966">
        <w:t>considère</w:t>
      </w:r>
      <w:proofErr w:type="spellEnd"/>
      <w:r w:rsidRPr="006F7966">
        <w:t xml:space="preserve"> </w:t>
      </w:r>
      <w:proofErr w:type="spellStart"/>
      <w:r w:rsidRPr="006F7966">
        <w:t>en</w:t>
      </w:r>
      <w:proofErr w:type="spellEnd"/>
      <w:r w:rsidRPr="006F7966">
        <w:t xml:space="preserve"> </w:t>
      </w:r>
      <w:proofErr w:type="spellStart"/>
      <w:r w:rsidRPr="006F7966">
        <w:t>conséquence</w:t>
      </w:r>
      <w:proofErr w:type="spellEnd"/>
      <w:r w:rsidRPr="006F7966">
        <w:t xml:space="preserve"> que </w:t>
      </w:r>
      <w:proofErr w:type="spellStart"/>
      <w:r w:rsidRPr="006F7966">
        <w:t>l’exception</w:t>
      </w:r>
      <w:proofErr w:type="spellEnd"/>
      <w:r w:rsidRPr="006F7966">
        <w:t xml:space="preserve"> de non-</w:t>
      </w:r>
      <w:proofErr w:type="spellStart"/>
      <w:r w:rsidRPr="006F7966">
        <w:t>épuisement</w:t>
      </w:r>
      <w:proofErr w:type="spellEnd"/>
      <w:r w:rsidRPr="006F7966">
        <w:t xml:space="preserve"> des </w:t>
      </w:r>
      <w:proofErr w:type="spellStart"/>
      <w:r w:rsidRPr="006F7966">
        <w:t>voies</w:t>
      </w:r>
      <w:proofErr w:type="spellEnd"/>
      <w:r w:rsidRPr="006F7966">
        <w:t xml:space="preserve"> de </w:t>
      </w:r>
      <w:proofErr w:type="spellStart"/>
      <w:r w:rsidRPr="006F7966">
        <w:t>recours</w:t>
      </w:r>
      <w:proofErr w:type="spellEnd"/>
      <w:r w:rsidRPr="006F7966">
        <w:t xml:space="preserve"> internes </w:t>
      </w:r>
      <w:proofErr w:type="spellStart"/>
      <w:r w:rsidRPr="006F7966">
        <w:t>soulevée</w:t>
      </w:r>
      <w:proofErr w:type="spellEnd"/>
      <w:r w:rsidRPr="006F7966">
        <w:t xml:space="preserve"> par le </w:t>
      </w:r>
      <w:proofErr w:type="spellStart"/>
      <w:r w:rsidRPr="006F7966">
        <w:t>Gouvernement</w:t>
      </w:r>
      <w:proofErr w:type="spellEnd"/>
      <w:r w:rsidRPr="006F7966">
        <w:t xml:space="preserve"> ne doit pas </w:t>
      </w:r>
      <w:proofErr w:type="spellStart"/>
      <w:r w:rsidRPr="006F7966">
        <w:t>être</w:t>
      </w:r>
      <w:proofErr w:type="spellEnd"/>
      <w:r w:rsidRPr="006F7966">
        <w:t xml:space="preserve"> </w:t>
      </w:r>
      <w:proofErr w:type="spellStart"/>
      <w:r w:rsidRPr="006F7966">
        <w:t>retenue</w:t>
      </w:r>
      <w:proofErr w:type="spellEnd"/>
      <w:r w:rsidRPr="006F7966">
        <w:t>.</w:t>
      </w:r>
    </w:p>
    <w:bookmarkEnd w:id="8"/>
    <w:p w14:paraId="6D94D9AB" w14:textId="77777777" w:rsidR="00760E8D" w:rsidRPr="006F7966" w:rsidRDefault="00760E8D" w:rsidP="00760E8D">
      <w:pPr>
        <w:pStyle w:val="ECHRPara"/>
      </w:pPr>
      <w:r w:rsidRPr="006F7966">
        <w:fldChar w:fldCharType="begin"/>
      </w:r>
      <w:r w:rsidRPr="006F7966">
        <w:instrText xml:space="preserve"> SEQ level0 \*arabic </w:instrText>
      </w:r>
      <w:r w:rsidRPr="006F7966">
        <w:fldChar w:fldCharType="separate"/>
      </w:r>
      <w:r w:rsidRPr="006F7966">
        <w:rPr>
          <w:noProof/>
        </w:rPr>
        <w:t>46</w:t>
      </w:r>
      <w:r w:rsidRPr="006F7966">
        <w:fldChar w:fldCharType="end"/>
      </w:r>
      <w:r w:rsidRPr="006F7966">
        <w:t>.  </w:t>
      </w:r>
      <w:bookmarkStart w:id="9" w:name="_Hlk36127606"/>
      <w:proofErr w:type="spellStart"/>
      <w:r w:rsidRPr="006F7966">
        <w:t>Constatant</w:t>
      </w:r>
      <w:proofErr w:type="spellEnd"/>
      <w:r w:rsidRPr="006F7966">
        <w:t xml:space="preserve"> que la </w:t>
      </w:r>
      <w:proofErr w:type="spellStart"/>
      <w:r w:rsidRPr="006F7966">
        <w:t>requête</w:t>
      </w:r>
      <w:proofErr w:type="spellEnd"/>
      <w:r w:rsidRPr="006F7966">
        <w:t xml:space="preserve"> </w:t>
      </w:r>
      <w:proofErr w:type="spellStart"/>
      <w:r w:rsidRPr="006F7966">
        <w:t>n’est</w:t>
      </w:r>
      <w:proofErr w:type="spellEnd"/>
      <w:r w:rsidRPr="006F7966">
        <w:t xml:space="preserve"> pas </w:t>
      </w:r>
      <w:proofErr w:type="spellStart"/>
      <w:r w:rsidRPr="006F7966">
        <w:t>manifestement</w:t>
      </w:r>
      <w:proofErr w:type="spellEnd"/>
      <w:r w:rsidRPr="006F7966">
        <w:t xml:space="preserve"> mal </w:t>
      </w:r>
      <w:proofErr w:type="spellStart"/>
      <w:r w:rsidRPr="006F7966">
        <w:t>fondée</w:t>
      </w:r>
      <w:proofErr w:type="spellEnd"/>
      <w:r w:rsidRPr="006F7966">
        <w:t xml:space="preserve"> </w:t>
      </w:r>
      <w:proofErr w:type="spellStart"/>
      <w:r w:rsidRPr="006F7966">
        <w:t>ni</w:t>
      </w:r>
      <w:proofErr w:type="spellEnd"/>
      <w:r w:rsidRPr="006F7966">
        <w:t xml:space="preserve"> </w:t>
      </w:r>
      <w:proofErr w:type="spellStart"/>
      <w:r w:rsidRPr="006F7966">
        <w:t>irrecevable</w:t>
      </w:r>
      <w:proofErr w:type="spellEnd"/>
      <w:r w:rsidRPr="006F7966">
        <w:t xml:space="preserve"> pour un </w:t>
      </w:r>
      <w:proofErr w:type="spellStart"/>
      <w:r w:rsidRPr="006F7966">
        <w:t>autre</w:t>
      </w:r>
      <w:proofErr w:type="spellEnd"/>
      <w:r w:rsidRPr="006F7966">
        <w:t xml:space="preserve"> motif </w:t>
      </w:r>
      <w:proofErr w:type="spellStart"/>
      <w:r w:rsidRPr="006F7966">
        <w:t>visé</w:t>
      </w:r>
      <w:proofErr w:type="spellEnd"/>
      <w:r w:rsidRPr="006F7966">
        <w:t xml:space="preserve"> à </w:t>
      </w:r>
      <w:proofErr w:type="spellStart"/>
      <w:r w:rsidRPr="006F7966">
        <w:t>l’article</w:t>
      </w:r>
      <w:proofErr w:type="spellEnd"/>
      <w:r w:rsidRPr="006F7966">
        <w:t xml:space="preserve"> 35 de la Convention, la </w:t>
      </w:r>
      <w:proofErr w:type="spellStart"/>
      <w:r w:rsidRPr="006F7966">
        <w:t>Cour</w:t>
      </w:r>
      <w:proofErr w:type="spellEnd"/>
      <w:r w:rsidRPr="006F7966">
        <w:t xml:space="preserve"> la </w:t>
      </w:r>
      <w:proofErr w:type="spellStart"/>
      <w:r w:rsidRPr="006F7966">
        <w:t>déclare</w:t>
      </w:r>
      <w:proofErr w:type="spellEnd"/>
      <w:r w:rsidRPr="006F7966">
        <w:t xml:space="preserve"> </w:t>
      </w:r>
      <w:proofErr w:type="spellStart"/>
      <w:r w:rsidRPr="006F7966">
        <w:t>recevable</w:t>
      </w:r>
      <w:proofErr w:type="spellEnd"/>
      <w:r w:rsidRPr="006F7966">
        <w:t>.</w:t>
      </w:r>
      <w:bookmarkEnd w:id="9"/>
    </w:p>
    <w:p w14:paraId="026F5D80" w14:textId="77777777" w:rsidR="00760E8D" w:rsidRPr="006F7966" w:rsidRDefault="00760E8D" w:rsidP="00760E8D">
      <w:pPr>
        <w:pStyle w:val="JuHA"/>
        <w:numPr>
          <w:ilvl w:val="2"/>
          <w:numId w:val="18"/>
        </w:numPr>
        <w:ind w:left="510" w:hanging="340"/>
      </w:pPr>
      <w:bookmarkStart w:id="10" w:name="_Hlk36127650"/>
      <w:r w:rsidRPr="006F7966">
        <w:t>Sur le fond</w:t>
      </w:r>
      <w:bookmarkEnd w:id="10"/>
    </w:p>
    <w:p w14:paraId="7C5DD0A0" w14:textId="77777777" w:rsidR="00760E8D" w:rsidRPr="006F7966" w:rsidRDefault="00760E8D" w:rsidP="00760E8D">
      <w:pPr>
        <w:pStyle w:val="ECHRHeading3"/>
        <w:numPr>
          <w:ilvl w:val="2"/>
          <w:numId w:val="2"/>
        </w:numPr>
        <w:ind w:left="720" w:hanging="432"/>
      </w:pPr>
      <w:r w:rsidRPr="006F7966">
        <w:t>Appréciation de la Cour</w:t>
      </w:r>
    </w:p>
    <w:p w14:paraId="3619726D" w14:textId="77777777" w:rsidR="00760E8D" w:rsidRPr="006F7966" w:rsidRDefault="00760E8D" w:rsidP="00760E8D">
      <w:pPr>
        <w:pStyle w:val="ECHRHeading4"/>
        <w:numPr>
          <w:ilvl w:val="3"/>
          <w:numId w:val="2"/>
        </w:numPr>
        <w:ind w:left="864" w:hanging="144"/>
      </w:pPr>
      <w:r w:rsidRPr="006F7966">
        <w:t>Principes généraux</w:t>
      </w:r>
    </w:p>
    <w:bookmarkStart w:id="11" w:name="_Hlk36127691"/>
    <w:p w14:paraId="09479372" w14:textId="77777777" w:rsidR="00760E8D" w:rsidRPr="006F7966" w:rsidRDefault="00760E8D" w:rsidP="00760E8D">
      <w:pPr>
        <w:pStyle w:val="ECHRPara"/>
        <w:rPr>
          <w:rFonts w:cs="Times New Roman"/>
        </w:rPr>
      </w:pPr>
      <w:r w:rsidRPr="006F7966">
        <w:fldChar w:fldCharType="begin"/>
      </w:r>
      <w:r w:rsidRPr="006F7966">
        <w:instrText xml:space="preserve"> SEQ level0 \*arabic </w:instrText>
      </w:r>
      <w:r w:rsidRPr="006F7966">
        <w:fldChar w:fldCharType="separate"/>
      </w:r>
      <w:r w:rsidRPr="006F7966">
        <w:rPr>
          <w:noProof/>
        </w:rPr>
        <w:t>54</w:t>
      </w:r>
      <w:r w:rsidRPr="006F7966">
        <w:fldChar w:fldCharType="end"/>
      </w:r>
      <w:r w:rsidRPr="006F7966">
        <w:t xml:space="preserve">.  La </w:t>
      </w:r>
      <w:proofErr w:type="spellStart"/>
      <w:r w:rsidRPr="006F7966">
        <w:t>Cour</w:t>
      </w:r>
      <w:proofErr w:type="spellEnd"/>
      <w:r w:rsidRPr="006F7966">
        <w:t xml:space="preserve"> </w:t>
      </w:r>
      <w:proofErr w:type="spellStart"/>
      <w:r w:rsidRPr="006F7966">
        <w:t>renvoie</w:t>
      </w:r>
      <w:proofErr w:type="spellEnd"/>
      <w:r w:rsidRPr="006F7966">
        <w:t xml:space="preserve"> aux </w:t>
      </w:r>
      <w:proofErr w:type="spellStart"/>
      <w:r w:rsidRPr="006F7966">
        <w:t>principes</w:t>
      </w:r>
      <w:proofErr w:type="spellEnd"/>
      <w:r w:rsidRPr="006F7966">
        <w:t xml:space="preserve"> </w:t>
      </w:r>
      <w:proofErr w:type="spellStart"/>
      <w:r w:rsidRPr="006F7966">
        <w:t>généraux</w:t>
      </w:r>
      <w:proofErr w:type="spellEnd"/>
      <w:r w:rsidRPr="006F7966">
        <w:t xml:space="preserve"> </w:t>
      </w:r>
      <w:proofErr w:type="spellStart"/>
      <w:r w:rsidRPr="006F7966">
        <w:t>pertinents</w:t>
      </w:r>
      <w:proofErr w:type="spellEnd"/>
      <w:r w:rsidRPr="006F7966">
        <w:t xml:space="preserve"> </w:t>
      </w:r>
      <w:proofErr w:type="spellStart"/>
      <w:r w:rsidRPr="006F7966">
        <w:t>en</w:t>
      </w:r>
      <w:proofErr w:type="spellEnd"/>
      <w:r w:rsidRPr="006F7966">
        <w:t xml:space="preserve"> la matière </w:t>
      </w:r>
      <w:proofErr w:type="spellStart"/>
      <w:r w:rsidRPr="006F7966">
        <w:t>tels</w:t>
      </w:r>
      <w:proofErr w:type="spellEnd"/>
      <w:r w:rsidRPr="006F7966">
        <w:t xml:space="preserve"> </w:t>
      </w:r>
      <w:proofErr w:type="spellStart"/>
      <w:r w:rsidRPr="006F7966">
        <w:t>qu’énoncés</w:t>
      </w:r>
      <w:proofErr w:type="spellEnd"/>
      <w:r w:rsidRPr="006F7966">
        <w:t xml:space="preserve"> dans </w:t>
      </w:r>
      <w:proofErr w:type="spellStart"/>
      <w:r w:rsidRPr="006F7966">
        <w:t>l’arrêt</w:t>
      </w:r>
      <w:proofErr w:type="spellEnd"/>
      <w:r w:rsidRPr="006F7966">
        <w:t xml:space="preserve"> </w:t>
      </w:r>
      <w:r w:rsidRPr="006F7966">
        <w:rPr>
          <w:rFonts w:cs="Times New Roman"/>
          <w:i/>
        </w:rPr>
        <w:t xml:space="preserve">Strand </w:t>
      </w:r>
      <w:proofErr w:type="spellStart"/>
      <w:r w:rsidRPr="006F7966">
        <w:rPr>
          <w:rFonts w:cs="Times New Roman"/>
          <w:i/>
        </w:rPr>
        <w:t>Lobben</w:t>
      </w:r>
      <w:proofErr w:type="spellEnd"/>
      <w:r w:rsidRPr="006F7966">
        <w:rPr>
          <w:rFonts w:cs="Times New Roman"/>
          <w:i/>
        </w:rPr>
        <w:t xml:space="preserve"> </w:t>
      </w:r>
      <w:r w:rsidRPr="006F7966">
        <w:rPr>
          <w:rFonts w:cs="Times New Roman"/>
          <w:i/>
          <w:iCs/>
        </w:rPr>
        <w:t xml:space="preserve">et </w:t>
      </w:r>
      <w:proofErr w:type="spellStart"/>
      <w:r w:rsidRPr="006F7966">
        <w:rPr>
          <w:rFonts w:cs="Times New Roman"/>
          <w:i/>
          <w:iCs/>
        </w:rPr>
        <w:t>autres</w:t>
      </w:r>
      <w:proofErr w:type="spellEnd"/>
      <w:r w:rsidRPr="006F7966">
        <w:rPr>
          <w:rFonts w:cs="Times New Roman"/>
          <w:i/>
          <w:iCs/>
        </w:rPr>
        <w:t xml:space="preserve"> c. </w:t>
      </w:r>
      <w:proofErr w:type="spellStart"/>
      <w:r w:rsidRPr="006F7966">
        <w:rPr>
          <w:rFonts w:cs="Times New Roman"/>
          <w:i/>
          <w:iCs/>
        </w:rPr>
        <w:t>Norvège</w:t>
      </w:r>
      <w:proofErr w:type="spellEnd"/>
      <w:r w:rsidRPr="006F7966">
        <w:rPr>
          <w:rFonts w:cs="Times New Roman"/>
        </w:rPr>
        <w:t xml:space="preserve"> [GC], n</w:t>
      </w:r>
      <w:r w:rsidRPr="006F7966">
        <w:rPr>
          <w:rFonts w:cs="Times New Roman"/>
          <w:vertAlign w:val="superscript"/>
        </w:rPr>
        <w:t>o</w:t>
      </w:r>
      <w:r w:rsidRPr="006F7966">
        <w:rPr>
          <w:rFonts w:cs="Times New Roman"/>
        </w:rPr>
        <w:t xml:space="preserve"> 37283/13, §§ 202-213, 10 </w:t>
      </w:r>
      <w:proofErr w:type="spellStart"/>
      <w:r w:rsidRPr="006F7966">
        <w:rPr>
          <w:rFonts w:cs="Times New Roman"/>
        </w:rPr>
        <w:t>septembre</w:t>
      </w:r>
      <w:proofErr w:type="spellEnd"/>
      <w:r w:rsidRPr="006F7966">
        <w:rPr>
          <w:rFonts w:cs="Times New Roman"/>
        </w:rPr>
        <w:t xml:space="preserve"> 2019). Elle note </w:t>
      </w:r>
      <w:proofErr w:type="spellStart"/>
      <w:r w:rsidRPr="006F7966">
        <w:rPr>
          <w:rFonts w:cs="Times New Roman"/>
        </w:rPr>
        <w:t>toutefois</w:t>
      </w:r>
      <w:proofErr w:type="spellEnd"/>
      <w:r w:rsidRPr="006F7966">
        <w:rPr>
          <w:rFonts w:cs="Times New Roman"/>
        </w:rPr>
        <w:t xml:space="preserve"> que les </w:t>
      </w:r>
      <w:proofErr w:type="spellStart"/>
      <w:r w:rsidRPr="006F7966">
        <w:rPr>
          <w:rFonts w:cs="Times New Roman"/>
        </w:rPr>
        <w:t>mesures</w:t>
      </w:r>
      <w:proofErr w:type="spellEnd"/>
      <w:r w:rsidRPr="006F7966">
        <w:rPr>
          <w:rFonts w:cs="Times New Roman"/>
        </w:rPr>
        <w:t xml:space="preserve"> </w:t>
      </w:r>
      <w:proofErr w:type="spellStart"/>
      <w:r w:rsidRPr="006F7966">
        <w:rPr>
          <w:rFonts w:cs="Times New Roman"/>
        </w:rPr>
        <w:t>litigieuses</w:t>
      </w:r>
      <w:proofErr w:type="spellEnd"/>
      <w:r w:rsidRPr="006F7966">
        <w:rPr>
          <w:rFonts w:cs="Times New Roman"/>
        </w:rPr>
        <w:t xml:space="preserve"> de la </w:t>
      </w:r>
      <w:proofErr w:type="spellStart"/>
      <w:r w:rsidRPr="006F7966">
        <w:rPr>
          <w:rFonts w:cs="Times New Roman"/>
        </w:rPr>
        <w:t>présente</w:t>
      </w:r>
      <w:proofErr w:type="spellEnd"/>
      <w:r w:rsidRPr="006F7966">
        <w:rPr>
          <w:rFonts w:cs="Times New Roman"/>
        </w:rPr>
        <w:t xml:space="preserve"> </w:t>
      </w:r>
      <w:proofErr w:type="spellStart"/>
      <w:r w:rsidRPr="006F7966">
        <w:rPr>
          <w:rFonts w:cs="Times New Roman"/>
        </w:rPr>
        <w:t>espèce</w:t>
      </w:r>
      <w:proofErr w:type="spellEnd"/>
      <w:r w:rsidRPr="006F7966">
        <w:rPr>
          <w:rFonts w:cs="Times New Roman"/>
        </w:rPr>
        <w:t xml:space="preserve"> </w:t>
      </w:r>
      <w:proofErr w:type="spellStart"/>
      <w:r w:rsidRPr="006F7966">
        <w:rPr>
          <w:rFonts w:cs="Times New Roman"/>
        </w:rPr>
        <w:t>n’ont</w:t>
      </w:r>
      <w:proofErr w:type="spellEnd"/>
      <w:r w:rsidRPr="006F7966">
        <w:rPr>
          <w:rFonts w:cs="Times New Roman"/>
        </w:rPr>
        <w:t xml:space="preserve"> pas </w:t>
      </w:r>
      <w:proofErr w:type="spellStart"/>
      <w:r w:rsidRPr="006F7966">
        <w:rPr>
          <w:rFonts w:cs="Times New Roman"/>
        </w:rPr>
        <w:t>emporté</w:t>
      </w:r>
      <w:proofErr w:type="spellEnd"/>
      <w:r w:rsidRPr="006F7966">
        <w:rPr>
          <w:rFonts w:cs="Times New Roman"/>
        </w:rPr>
        <w:t xml:space="preserve">, </w:t>
      </w:r>
      <w:proofErr w:type="spellStart"/>
      <w:r w:rsidRPr="006F7966">
        <w:rPr>
          <w:rFonts w:cs="Times New Roman"/>
        </w:rPr>
        <w:t>contrairement</w:t>
      </w:r>
      <w:proofErr w:type="spellEnd"/>
      <w:r w:rsidRPr="006F7966">
        <w:rPr>
          <w:rFonts w:cs="Times New Roman"/>
        </w:rPr>
        <w:t xml:space="preserve"> à </w:t>
      </w:r>
      <w:proofErr w:type="spellStart"/>
      <w:r w:rsidRPr="006F7966">
        <w:rPr>
          <w:rFonts w:cs="Times New Roman"/>
        </w:rPr>
        <w:t>l’affaire</w:t>
      </w:r>
      <w:proofErr w:type="spellEnd"/>
      <w:r w:rsidRPr="006F7966">
        <w:rPr>
          <w:rFonts w:cs="Times New Roman"/>
        </w:rPr>
        <w:t xml:space="preserve"> </w:t>
      </w:r>
      <w:r w:rsidRPr="006F7966">
        <w:rPr>
          <w:rFonts w:cs="Times New Roman"/>
          <w:i/>
          <w:iCs/>
        </w:rPr>
        <w:t xml:space="preserve">Strand </w:t>
      </w:r>
      <w:proofErr w:type="spellStart"/>
      <w:r w:rsidRPr="006F7966">
        <w:rPr>
          <w:rFonts w:cs="Times New Roman"/>
          <w:i/>
          <w:iCs/>
        </w:rPr>
        <w:t>Lobben</w:t>
      </w:r>
      <w:proofErr w:type="spellEnd"/>
      <w:r w:rsidRPr="006F7966">
        <w:rPr>
          <w:rFonts w:cs="Times New Roman"/>
        </w:rPr>
        <w:t xml:space="preserve">, de </w:t>
      </w:r>
      <w:proofErr w:type="spellStart"/>
      <w:r w:rsidRPr="006F7966">
        <w:rPr>
          <w:rFonts w:cs="Times New Roman"/>
        </w:rPr>
        <w:t>séparation</w:t>
      </w:r>
      <w:proofErr w:type="spellEnd"/>
      <w:r w:rsidRPr="006F7966">
        <w:rPr>
          <w:rFonts w:cs="Times New Roman"/>
        </w:rPr>
        <w:t xml:space="preserve"> </w:t>
      </w:r>
      <w:proofErr w:type="spellStart"/>
      <w:r w:rsidRPr="006F7966">
        <w:rPr>
          <w:rFonts w:cs="Times New Roman"/>
        </w:rPr>
        <w:t>définitive</w:t>
      </w:r>
      <w:proofErr w:type="spellEnd"/>
      <w:r w:rsidRPr="006F7966">
        <w:rPr>
          <w:rFonts w:cs="Times New Roman"/>
        </w:rPr>
        <w:t xml:space="preserve"> entre la </w:t>
      </w:r>
      <w:proofErr w:type="spellStart"/>
      <w:r w:rsidRPr="006F7966">
        <w:rPr>
          <w:rFonts w:cs="Times New Roman"/>
        </w:rPr>
        <w:t>mère</w:t>
      </w:r>
      <w:proofErr w:type="spellEnd"/>
      <w:r w:rsidRPr="006F7966">
        <w:rPr>
          <w:rFonts w:cs="Times New Roman"/>
        </w:rPr>
        <w:t xml:space="preserve"> et </w:t>
      </w:r>
      <w:proofErr w:type="spellStart"/>
      <w:r w:rsidRPr="006F7966">
        <w:rPr>
          <w:rFonts w:cs="Times New Roman"/>
        </w:rPr>
        <w:t>l’enfant</w:t>
      </w:r>
      <w:proofErr w:type="spellEnd"/>
      <w:r w:rsidRPr="006F7966">
        <w:rPr>
          <w:rFonts w:cs="Times New Roman"/>
        </w:rPr>
        <w:t>.</w:t>
      </w:r>
    </w:p>
    <w:bookmarkEnd w:id="11"/>
    <w:p w14:paraId="19F039B5" w14:textId="77777777" w:rsidR="00760E8D" w:rsidRPr="006F7966" w:rsidRDefault="00760E8D" w:rsidP="00760E8D">
      <w:pPr>
        <w:pStyle w:val="ECHRHeading4"/>
        <w:numPr>
          <w:ilvl w:val="3"/>
          <w:numId w:val="2"/>
        </w:numPr>
        <w:ind w:left="864" w:hanging="144"/>
      </w:pPr>
      <w:r w:rsidRPr="006F7966">
        <w:t>Application en l’espèce</w:t>
      </w:r>
    </w:p>
    <w:p w14:paraId="2FE29E8F"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55</w:t>
      </w:r>
      <w:r>
        <w:rPr>
          <w:noProof/>
        </w:rPr>
        <w:fldChar w:fldCharType="end"/>
      </w:r>
      <w:r w:rsidRPr="006F7966">
        <w:t>.  </w:t>
      </w:r>
      <w:proofErr w:type="spellStart"/>
      <w:r w:rsidRPr="006F7966">
        <w:t>En</w:t>
      </w:r>
      <w:proofErr w:type="spellEnd"/>
      <w:r w:rsidRPr="006F7966">
        <w:t xml:space="preserve"> premier lieu, la </w:t>
      </w:r>
      <w:proofErr w:type="spellStart"/>
      <w:r w:rsidRPr="006F7966">
        <w:t>Cour</w:t>
      </w:r>
      <w:proofErr w:type="spellEnd"/>
      <w:r w:rsidRPr="006F7966">
        <w:t xml:space="preserve"> </w:t>
      </w:r>
      <w:proofErr w:type="spellStart"/>
      <w:r w:rsidRPr="006F7966">
        <w:t>considère</w:t>
      </w:r>
      <w:proofErr w:type="spellEnd"/>
      <w:r w:rsidRPr="006F7966">
        <w:t xml:space="preserve"> que les </w:t>
      </w:r>
      <w:proofErr w:type="spellStart"/>
      <w:r w:rsidRPr="006F7966">
        <w:t>décisions</w:t>
      </w:r>
      <w:proofErr w:type="spellEnd"/>
      <w:r w:rsidRPr="006F7966">
        <w:t xml:space="preserve"> </w:t>
      </w:r>
      <w:proofErr w:type="spellStart"/>
      <w:r w:rsidRPr="006F7966">
        <w:t>litigieuses</w:t>
      </w:r>
      <w:proofErr w:type="spellEnd"/>
      <w:r w:rsidRPr="006F7966">
        <w:t xml:space="preserve"> constituent </w:t>
      </w:r>
      <w:proofErr w:type="spellStart"/>
      <w:r w:rsidRPr="006F7966">
        <w:t>une</w:t>
      </w:r>
      <w:proofErr w:type="spellEnd"/>
      <w:r w:rsidRPr="006F7966">
        <w:t xml:space="preserve"> </w:t>
      </w:r>
      <w:proofErr w:type="spellStart"/>
      <w:r w:rsidRPr="006F7966">
        <w:t>ingérence</w:t>
      </w:r>
      <w:proofErr w:type="spellEnd"/>
      <w:r w:rsidRPr="006F7966">
        <w:t xml:space="preserve"> dans </w:t>
      </w:r>
      <w:proofErr w:type="spellStart"/>
      <w:r w:rsidRPr="006F7966">
        <w:t>l’exercice</w:t>
      </w:r>
      <w:proofErr w:type="spellEnd"/>
      <w:r w:rsidRPr="006F7966">
        <w:t xml:space="preserve"> </w:t>
      </w:r>
      <w:proofErr w:type="spellStart"/>
      <w:r w:rsidRPr="006F7966">
        <w:t>par</w:t>
      </w:r>
      <w:proofErr w:type="spellEnd"/>
      <w:r w:rsidRPr="006F7966">
        <w:t xml:space="preserve"> la </w:t>
      </w:r>
      <w:proofErr w:type="spellStart"/>
      <w:r w:rsidRPr="006F7966">
        <w:t>requérante</w:t>
      </w:r>
      <w:proofErr w:type="spellEnd"/>
      <w:r w:rsidRPr="006F7966">
        <w:t xml:space="preserve"> de son droit au respect de la vie </w:t>
      </w:r>
      <w:proofErr w:type="spellStart"/>
      <w:r w:rsidRPr="006F7966">
        <w:t>familiale</w:t>
      </w:r>
      <w:proofErr w:type="spellEnd"/>
      <w:r w:rsidRPr="006F7966">
        <w:t xml:space="preserve"> </w:t>
      </w:r>
      <w:proofErr w:type="spellStart"/>
      <w:r w:rsidRPr="006F7966">
        <w:t>tel</w:t>
      </w:r>
      <w:proofErr w:type="spellEnd"/>
      <w:r w:rsidRPr="006F7966">
        <w:t xml:space="preserve"> que </w:t>
      </w:r>
      <w:proofErr w:type="spellStart"/>
      <w:r w:rsidRPr="006F7966">
        <w:t>garanti</w:t>
      </w:r>
      <w:proofErr w:type="spellEnd"/>
      <w:r w:rsidRPr="006F7966">
        <w:t xml:space="preserve"> par le </w:t>
      </w:r>
      <w:proofErr w:type="spellStart"/>
      <w:r w:rsidRPr="006F7966">
        <w:t>paragraphe</w:t>
      </w:r>
      <w:proofErr w:type="spellEnd"/>
      <w:r w:rsidRPr="006F7966">
        <w:t xml:space="preserve"> premier de </w:t>
      </w:r>
      <w:proofErr w:type="spellStart"/>
      <w:r w:rsidRPr="006F7966">
        <w:t>l’article</w:t>
      </w:r>
      <w:proofErr w:type="spellEnd"/>
      <w:r w:rsidRPr="006F7966">
        <w:t xml:space="preserve"> 8 de la Convention, </w:t>
      </w:r>
      <w:proofErr w:type="spellStart"/>
      <w:r w:rsidRPr="006F7966">
        <w:t>ce</w:t>
      </w:r>
      <w:proofErr w:type="spellEnd"/>
      <w:r w:rsidRPr="006F7966">
        <w:t xml:space="preserve"> qui </w:t>
      </w:r>
      <w:proofErr w:type="spellStart"/>
      <w:r w:rsidRPr="006F7966">
        <w:t>n’est</w:t>
      </w:r>
      <w:proofErr w:type="spellEnd"/>
      <w:r w:rsidRPr="006F7966">
        <w:t xml:space="preserve"> au </w:t>
      </w:r>
      <w:proofErr w:type="spellStart"/>
      <w:r w:rsidRPr="006F7966">
        <w:t>demeurant</w:t>
      </w:r>
      <w:proofErr w:type="spellEnd"/>
      <w:r w:rsidRPr="006F7966">
        <w:t xml:space="preserve"> pas </w:t>
      </w:r>
      <w:proofErr w:type="spellStart"/>
      <w:r w:rsidRPr="006F7966">
        <w:t>contesté</w:t>
      </w:r>
      <w:proofErr w:type="spellEnd"/>
      <w:r w:rsidRPr="006F7966">
        <w:t xml:space="preserve"> par les parties. </w:t>
      </w:r>
      <w:proofErr w:type="spellStart"/>
      <w:r w:rsidRPr="006F7966">
        <w:t>En</w:t>
      </w:r>
      <w:proofErr w:type="spellEnd"/>
      <w:r w:rsidRPr="006F7966">
        <w:t xml:space="preserve"> </w:t>
      </w:r>
      <w:proofErr w:type="spellStart"/>
      <w:r w:rsidRPr="006F7966">
        <w:t>deuxième</w:t>
      </w:r>
      <w:proofErr w:type="spellEnd"/>
      <w:r w:rsidRPr="006F7966">
        <w:t xml:space="preserve"> lieu, la </w:t>
      </w:r>
      <w:proofErr w:type="spellStart"/>
      <w:r w:rsidRPr="006F7966">
        <w:t>Cour</w:t>
      </w:r>
      <w:proofErr w:type="spellEnd"/>
      <w:r w:rsidRPr="006F7966">
        <w:t xml:space="preserve"> </w:t>
      </w:r>
      <w:proofErr w:type="spellStart"/>
      <w:r w:rsidRPr="006F7966">
        <w:t>considère</w:t>
      </w:r>
      <w:proofErr w:type="spellEnd"/>
      <w:r w:rsidRPr="006F7966">
        <w:t xml:space="preserve"> que </w:t>
      </w:r>
      <w:proofErr w:type="spellStart"/>
      <w:r w:rsidRPr="006F7966">
        <w:t>ces</w:t>
      </w:r>
      <w:proofErr w:type="spellEnd"/>
      <w:r w:rsidRPr="006F7966">
        <w:t xml:space="preserve"> </w:t>
      </w:r>
      <w:proofErr w:type="spellStart"/>
      <w:r w:rsidRPr="006F7966">
        <w:t>décisions</w:t>
      </w:r>
      <w:proofErr w:type="spellEnd"/>
      <w:r w:rsidRPr="006F7966">
        <w:t xml:space="preserve"> </w:t>
      </w:r>
      <w:proofErr w:type="spellStart"/>
      <w:r w:rsidRPr="006F7966">
        <w:t>étaient</w:t>
      </w:r>
      <w:proofErr w:type="spellEnd"/>
      <w:r w:rsidRPr="006F7966">
        <w:t xml:space="preserve"> </w:t>
      </w:r>
      <w:proofErr w:type="spellStart"/>
      <w:r w:rsidRPr="006F7966">
        <w:t>prévues</w:t>
      </w:r>
      <w:proofErr w:type="spellEnd"/>
      <w:r w:rsidRPr="006F7966">
        <w:t xml:space="preserve"> </w:t>
      </w:r>
      <w:proofErr w:type="spellStart"/>
      <w:r w:rsidRPr="006F7966">
        <w:t>par</w:t>
      </w:r>
      <w:proofErr w:type="spellEnd"/>
      <w:r w:rsidRPr="006F7966">
        <w:t xml:space="preserve"> la </w:t>
      </w:r>
      <w:proofErr w:type="spellStart"/>
      <w:r w:rsidRPr="006F7966">
        <w:t>loi</w:t>
      </w:r>
      <w:proofErr w:type="spellEnd"/>
      <w:r w:rsidRPr="006F7966">
        <w:t xml:space="preserve">, à savoir les articles 375 et </w:t>
      </w:r>
      <w:proofErr w:type="spellStart"/>
      <w:r w:rsidRPr="006F7966">
        <w:t>suivants</w:t>
      </w:r>
      <w:proofErr w:type="spellEnd"/>
      <w:r w:rsidRPr="006F7966">
        <w:t xml:space="preserve"> du code civil, et </w:t>
      </w:r>
      <w:proofErr w:type="spellStart"/>
      <w:r w:rsidRPr="006F7966">
        <w:t>qu’elles</w:t>
      </w:r>
      <w:proofErr w:type="spellEnd"/>
      <w:r w:rsidRPr="006F7966">
        <w:t xml:space="preserve"> </w:t>
      </w:r>
      <w:proofErr w:type="spellStart"/>
      <w:r w:rsidRPr="006F7966">
        <w:t>poursuivaient</w:t>
      </w:r>
      <w:proofErr w:type="spellEnd"/>
      <w:r w:rsidRPr="006F7966">
        <w:t xml:space="preserve"> les buts </w:t>
      </w:r>
      <w:proofErr w:type="spellStart"/>
      <w:r w:rsidRPr="006F7966">
        <w:t>légitimes</w:t>
      </w:r>
      <w:proofErr w:type="spellEnd"/>
      <w:r w:rsidRPr="006F7966">
        <w:t xml:space="preserve"> de « protection de la santé » et « des droits et </w:t>
      </w:r>
      <w:proofErr w:type="spellStart"/>
      <w:r w:rsidRPr="006F7966">
        <w:t>libertés</w:t>
      </w:r>
      <w:proofErr w:type="spellEnd"/>
      <w:r w:rsidRPr="006F7966">
        <w:t xml:space="preserve"> » de </w:t>
      </w:r>
      <w:proofErr w:type="spellStart"/>
      <w:r w:rsidRPr="006F7966">
        <w:t>l’enfant</w:t>
      </w:r>
      <w:proofErr w:type="spellEnd"/>
      <w:r w:rsidRPr="006F7966">
        <w:t xml:space="preserve"> E., </w:t>
      </w:r>
      <w:proofErr w:type="spellStart"/>
      <w:r w:rsidRPr="006F7966">
        <w:t>ce</w:t>
      </w:r>
      <w:proofErr w:type="spellEnd"/>
      <w:r w:rsidRPr="006F7966">
        <w:t xml:space="preserve"> qui </w:t>
      </w:r>
      <w:proofErr w:type="spellStart"/>
      <w:r w:rsidRPr="006F7966">
        <w:t>n’est</w:t>
      </w:r>
      <w:proofErr w:type="spellEnd"/>
      <w:r w:rsidRPr="006F7966">
        <w:t xml:space="preserve"> pas </w:t>
      </w:r>
      <w:proofErr w:type="spellStart"/>
      <w:r w:rsidRPr="006F7966">
        <w:t>davantage</w:t>
      </w:r>
      <w:proofErr w:type="spellEnd"/>
      <w:r w:rsidRPr="006F7966">
        <w:t xml:space="preserve"> </w:t>
      </w:r>
      <w:proofErr w:type="spellStart"/>
      <w:r w:rsidRPr="006F7966">
        <w:t>contesté</w:t>
      </w:r>
      <w:proofErr w:type="spellEnd"/>
      <w:r w:rsidRPr="006F7966">
        <w:t xml:space="preserve"> par les parties. Il </w:t>
      </w:r>
      <w:proofErr w:type="spellStart"/>
      <w:r w:rsidRPr="006F7966">
        <w:t>lui</w:t>
      </w:r>
      <w:proofErr w:type="spellEnd"/>
      <w:r w:rsidRPr="006F7966">
        <w:t xml:space="preserve"> </w:t>
      </w:r>
      <w:proofErr w:type="spellStart"/>
      <w:r w:rsidRPr="006F7966">
        <w:t>revient</w:t>
      </w:r>
      <w:proofErr w:type="spellEnd"/>
      <w:r w:rsidRPr="006F7966">
        <w:t xml:space="preserve">, </w:t>
      </w:r>
      <w:proofErr w:type="spellStart"/>
      <w:r w:rsidRPr="006F7966">
        <w:t>en</w:t>
      </w:r>
      <w:proofErr w:type="spellEnd"/>
      <w:r w:rsidRPr="006F7966">
        <w:t xml:space="preserve"> </w:t>
      </w:r>
      <w:proofErr w:type="spellStart"/>
      <w:r w:rsidRPr="006F7966">
        <w:t>troisième</w:t>
      </w:r>
      <w:proofErr w:type="spellEnd"/>
      <w:r w:rsidRPr="006F7966">
        <w:t xml:space="preserve"> lieu, de </w:t>
      </w:r>
      <w:proofErr w:type="spellStart"/>
      <w:r w:rsidRPr="006F7966">
        <w:t>contrôler</w:t>
      </w:r>
      <w:proofErr w:type="spellEnd"/>
      <w:r w:rsidRPr="006F7966">
        <w:t xml:space="preserve"> </w:t>
      </w:r>
      <w:proofErr w:type="spellStart"/>
      <w:r w:rsidRPr="006F7966">
        <w:t>si</w:t>
      </w:r>
      <w:proofErr w:type="spellEnd"/>
      <w:r w:rsidRPr="006F7966">
        <w:t xml:space="preserve"> </w:t>
      </w:r>
      <w:proofErr w:type="spellStart"/>
      <w:r w:rsidRPr="006F7966">
        <w:t>l’ingérence</w:t>
      </w:r>
      <w:proofErr w:type="spellEnd"/>
      <w:r w:rsidRPr="006F7966">
        <w:t xml:space="preserve"> </w:t>
      </w:r>
      <w:proofErr w:type="spellStart"/>
      <w:r w:rsidRPr="006F7966">
        <w:t>était</w:t>
      </w:r>
      <w:proofErr w:type="spellEnd"/>
      <w:r w:rsidRPr="006F7966">
        <w:t xml:space="preserve"> « </w:t>
      </w:r>
      <w:proofErr w:type="spellStart"/>
      <w:r w:rsidRPr="006F7966">
        <w:t>nécessaire</w:t>
      </w:r>
      <w:proofErr w:type="spellEnd"/>
      <w:r w:rsidRPr="006F7966">
        <w:t xml:space="preserve"> dans </w:t>
      </w:r>
      <w:proofErr w:type="spellStart"/>
      <w:r w:rsidRPr="006F7966">
        <w:t>une</w:t>
      </w:r>
      <w:proofErr w:type="spellEnd"/>
      <w:r w:rsidRPr="006F7966">
        <w:t xml:space="preserve"> </w:t>
      </w:r>
      <w:proofErr w:type="spellStart"/>
      <w:r w:rsidRPr="006F7966">
        <w:t>société</w:t>
      </w:r>
      <w:proofErr w:type="spellEnd"/>
      <w:r w:rsidRPr="006F7966">
        <w:t xml:space="preserve"> </w:t>
      </w:r>
      <w:proofErr w:type="spellStart"/>
      <w:r w:rsidRPr="006F7966">
        <w:t>démocratique</w:t>
      </w:r>
      <w:proofErr w:type="spellEnd"/>
      <w:r w:rsidRPr="006F7966">
        <w:t> ».</w:t>
      </w:r>
    </w:p>
    <w:p w14:paraId="23E9AA92"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56</w:t>
      </w:r>
      <w:r>
        <w:rPr>
          <w:noProof/>
        </w:rPr>
        <w:fldChar w:fldCharType="end"/>
      </w:r>
      <w:r w:rsidRPr="006F7966">
        <w:t>. </w:t>
      </w:r>
      <w:bookmarkStart w:id="12" w:name="_Hlk87265318"/>
      <w:r w:rsidRPr="006F7966">
        <w:t xml:space="preserve"> Pour </w:t>
      </w:r>
      <w:proofErr w:type="spellStart"/>
      <w:r w:rsidRPr="006F7966">
        <w:t>ce</w:t>
      </w:r>
      <w:proofErr w:type="spellEnd"/>
      <w:r w:rsidRPr="006F7966">
        <w:t xml:space="preserve"> faire, la </w:t>
      </w:r>
      <w:proofErr w:type="spellStart"/>
      <w:r w:rsidRPr="006F7966">
        <w:t>Cour</w:t>
      </w:r>
      <w:proofErr w:type="spellEnd"/>
      <w:r w:rsidRPr="006F7966">
        <w:t xml:space="preserve"> doit examiner, à la lumière de </w:t>
      </w:r>
      <w:proofErr w:type="spellStart"/>
      <w:r w:rsidRPr="006F7966">
        <w:t>l’ensemble</w:t>
      </w:r>
      <w:proofErr w:type="spellEnd"/>
      <w:r w:rsidRPr="006F7966">
        <w:t xml:space="preserve"> de </w:t>
      </w:r>
      <w:proofErr w:type="spellStart"/>
      <w:r w:rsidRPr="006F7966">
        <w:t>l’affaire</w:t>
      </w:r>
      <w:proofErr w:type="spellEnd"/>
      <w:r w:rsidRPr="006F7966">
        <w:t xml:space="preserve">, </w:t>
      </w:r>
      <w:proofErr w:type="spellStart"/>
      <w:r w:rsidRPr="006F7966">
        <w:t>si</w:t>
      </w:r>
      <w:proofErr w:type="spellEnd"/>
      <w:r w:rsidRPr="006F7966">
        <w:t xml:space="preserve"> les motifs au </w:t>
      </w:r>
      <w:proofErr w:type="spellStart"/>
      <w:r w:rsidRPr="006F7966">
        <w:t>fondement</w:t>
      </w:r>
      <w:proofErr w:type="spellEnd"/>
      <w:r w:rsidRPr="006F7966">
        <w:t xml:space="preserve"> de </w:t>
      </w:r>
      <w:proofErr w:type="spellStart"/>
      <w:r w:rsidRPr="006F7966">
        <w:t>ces</w:t>
      </w:r>
      <w:proofErr w:type="spellEnd"/>
      <w:r w:rsidRPr="006F7966">
        <w:t xml:space="preserve"> </w:t>
      </w:r>
      <w:proofErr w:type="spellStart"/>
      <w:r w:rsidRPr="006F7966">
        <w:t>décisions</w:t>
      </w:r>
      <w:proofErr w:type="spellEnd"/>
      <w:r w:rsidRPr="006F7966">
        <w:t xml:space="preserve"> </w:t>
      </w:r>
      <w:proofErr w:type="spellStart"/>
      <w:r w:rsidRPr="006F7966">
        <w:t>étaient</w:t>
      </w:r>
      <w:proofErr w:type="spellEnd"/>
      <w:r w:rsidRPr="006F7966">
        <w:t xml:space="preserve"> </w:t>
      </w:r>
      <w:proofErr w:type="spellStart"/>
      <w:r w:rsidRPr="006F7966">
        <w:t>pertinents</w:t>
      </w:r>
      <w:proofErr w:type="spellEnd"/>
      <w:r w:rsidRPr="006F7966">
        <w:t xml:space="preserve"> et </w:t>
      </w:r>
      <w:proofErr w:type="spellStart"/>
      <w:r w:rsidRPr="006F7966">
        <w:t>suffisants</w:t>
      </w:r>
      <w:proofErr w:type="spellEnd"/>
      <w:r w:rsidRPr="006F7966">
        <w:t xml:space="preserve"> aux fins du </w:t>
      </w:r>
      <w:proofErr w:type="spellStart"/>
      <w:r w:rsidRPr="006F7966">
        <w:t>paragraphe</w:t>
      </w:r>
      <w:proofErr w:type="spellEnd"/>
      <w:r w:rsidRPr="006F7966">
        <w:t xml:space="preserve"> 2 de </w:t>
      </w:r>
      <w:proofErr w:type="spellStart"/>
      <w:r w:rsidRPr="006F7966">
        <w:t>l’article</w:t>
      </w:r>
      <w:proofErr w:type="spellEnd"/>
      <w:r w:rsidRPr="006F7966">
        <w:t xml:space="preserve"> 8 de la Convention. Dans </w:t>
      </w:r>
      <w:proofErr w:type="spellStart"/>
      <w:r w:rsidRPr="006F7966">
        <w:t>cette</w:t>
      </w:r>
      <w:proofErr w:type="spellEnd"/>
      <w:r w:rsidRPr="006F7966">
        <w:t xml:space="preserve"> perspective, </w:t>
      </w:r>
      <w:proofErr w:type="spellStart"/>
      <w:r w:rsidRPr="006F7966">
        <w:t>elle</w:t>
      </w:r>
      <w:proofErr w:type="spellEnd"/>
      <w:r w:rsidRPr="006F7966">
        <w:t xml:space="preserve"> </w:t>
      </w:r>
      <w:proofErr w:type="spellStart"/>
      <w:r w:rsidRPr="006F7966">
        <w:t>tiendra</w:t>
      </w:r>
      <w:proofErr w:type="spellEnd"/>
      <w:r w:rsidRPr="006F7966">
        <w:t xml:space="preserve"> </w:t>
      </w:r>
      <w:proofErr w:type="spellStart"/>
      <w:r w:rsidRPr="006F7966">
        <w:t>compte</w:t>
      </w:r>
      <w:proofErr w:type="spellEnd"/>
      <w:r w:rsidRPr="006F7966">
        <w:t xml:space="preserve"> de </w:t>
      </w:r>
      <w:proofErr w:type="spellStart"/>
      <w:r w:rsidRPr="006F7966">
        <w:t>l’évolution</w:t>
      </w:r>
      <w:proofErr w:type="spellEnd"/>
      <w:r w:rsidRPr="006F7966">
        <w:t xml:space="preserve"> des </w:t>
      </w:r>
      <w:proofErr w:type="spellStart"/>
      <w:r w:rsidRPr="006F7966">
        <w:t>mesures</w:t>
      </w:r>
      <w:proofErr w:type="spellEnd"/>
      <w:r w:rsidRPr="006F7966">
        <w:t xml:space="preserve"> prises à </w:t>
      </w:r>
      <w:proofErr w:type="spellStart"/>
      <w:r w:rsidRPr="006F7966">
        <w:t>l’égard</w:t>
      </w:r>
      <w:proofErr w:type="spellEnd"/>
      <w:r w:rsidRPr="006F7966">
        <w:t xml:space="preserve"> de </w:t>
      </w:r>
      <w:proofErr w:type="spellStart"/>
      <w:r w:rsidRPr="006F7966">
        <w:t>l’enfant</w:t>
      </w:r>
      <w:proofErr w:type="spellEnd"/>
      <w:r w:rsidRPr="006F7966">
        <w:t xml:space="preserve"> et de </w:t>
      </w:r>
      <w:proofErr w:type="spellStart"/>
      <w:r w:rsidRPr="006F7966">
        <w:t>ses</w:t>
      </w:r>
      <w:proofErr w:type="spellEnd"/>
      <w:r w:rsidRPr="006F7966">
        <w:t xml:space="preserve"> parents </w:t>
      </w:r>
      <w:proofErr w:type="spellStart"/>
      <w:r w:rsidRPr="006F7966">
        <w:t>telle</w:t>
      </w:r>
      <w:proofErr w:type="spellEnd"/>
      <w:r w:rsidRPr="006F7966">
        <w:t xml:space="preserve"> </w:t>
      </w:r>
      <w:proofErr w:type="spellStart"/>
      <w:r w:rsidRPr="006F7966">
        <w:t>qu’elle</w:t>
      </w:r>
      <w:proofErr w:type="spellEnd"/>
      <w:r w:rsidRPr="006F7966">
        <w:t xml:space="preserve"> </w:t>
      </w:r>
      <w:proofErr w:type="spellStart"/>
      <w:r w:rsidRPr="006F7966">
        <w:t>ressort</w:t>
      </w:r>
      <w:proofErr w:type="spellEnd"/>
      <w:r w:rsidRPr="006F7966">
        <w:t xml:space="preserve"> du dossier tout </w:t>
      </w:r>
      <w:proofErr w:type="spellStart"/>
      <w:r w:rsidRPr="006F7966">
        <w:t>en</w:t>
      </w:r>
      <w:proofErr w:type="spellEnd"/>
      <w:r w:rsidRPr="006F7966">
        <w:t xml:space="preserve"> </w:t>
      </w:r>
      <w:proofErr w:type="spellStart"/>
      <w:r w:rsidRPr="006F7966">
        <w:t>limit</w:t>
      </w:r>
      <w:bookmarkStart w:id="13" w:name="_Hlk87266270"/>
      <w:r w:rsidRPr="006F7966">
        <w:t>ant</w:t>
      </w:r>
      <w:proofErr w:type="spellEnd"/>
      <w:r w:rsidRPr="006F7966">
        <w:t xml:space="preserve"> son examen au grief </w:t>
      </w:r>
      <w:proofErr w:type="spellStart"/>
      <w:r w:rsidRPr="006F7966">
        <w:t>dont</w:t>
      </w:r>
      <w:proofErr w:type="spellEnd"/>
      <w:r w:rsidRPr="006F7966">
        <w:t xml:space="preserve"> la </w:t>
      </w:r>
      <w:proofErr w:type="spellStart"/>
      <w:r w:rsidRPr="006F7966">
        <w:t>requérante</w:t>
      </w:r>
      <w:proofErr w:type="spellEnd"/>
      <w:r w:rsidRPr="006F7966">
        <w:t xml:space="preserve"> </w:t>
      </w:r>
      <w:proofErr w:type="spellStart"/>
      <w:r w:rsidRPr="006F7966">
        <w:t>l’a</w:t>
      </w:r>
      <w:proofErr w:type="spellEnd"/>
      <w:r w:rsidRPr="006F7966">
        <w:t xml:space="preserve"> </w:t>
      </w:r>
      <w:proofErr w:type="spellStart"/>
      <w:r w:rsidRPr="006F7966">
        <w:t>saisie</w:t>
      </w:r>
      <w:proofErr w:type="spellEnd"/>
      <w:r w:rsidRPr="006F7966">
        <w:t xml:space="preserve"> (</w:t>
      </w:r>
      <w:proofErr w:type="spellStart"/>
      <w:r w:rsidRPr="006F7966">
        <w:t>paragraphe</w:t>
      </w:r>
      <w:proofErr w:type="spellEnd"/>
      <w:r w:rsidRPr="006F7966">
        <w:t xml:space="preserve"> 40 ci-dessus). Elle </w:t>
      </w:r>
      <w:proofErr w:type="spellStart"/>
      <w:r w:rsidRPr="006F7966">
        <w:t>s’attachera</w:t>
      </w:r>
      <w:proofErr w:type="spellEnd"/>
      <w:r w:rsidRPr="006F7966">
        <w:t xml:space="preserve"> </w:t>
      </w:r>
      <w:proofErr w:type="spellStart"/>
      <w:r w:rsidRPr="006F7966">
        <w:t>également</w:t>
      </w:r>
      <w:proofErr w:type="spellEnd"/>
      <w:r w:rsidRPr="006F7966">
        <w:t xml:space="preserve"> à </w:t>
      </w:r>
      <w:proofErr w:type="spellStart"/>
      <w:r w:rsidRPr="006F7966">
        <w:t>vérifier</w:t>
      </w:r>
      <w:proofErr w:type="spellEnd"/>
      <w:r w:rsidRPr="006F7966">
        <w:t xml:space="preserve"> la </w:t>
      </w:r>
      <w:proofErr w:type="spellStart"/>
      <w:r w:rsidRPr="006F7966">
        <w:t>qualité</w:t>
      </w:r>
      <w:proofErr w:type="spellEnd"/>
      <w:r w:rsidRPr="006F7966">
        <w:t xml:space="preserve"> du </w:t>
      </w:r>
      <w:proofErr w:type="spellStart"/>
      <w:r w:rsidRPr="006F7966">
        <w:t>processus</w:t>
      </w:r>
      <w:proofErr w:type="spellEnd"/>
      <w:r w:rsidRPr="006F7966">
        <w:t xml:space="preserve"> </w:t>
      </w:r>
      <w:proofErr w:type="spellStart"/>
      <w:r w:rsidRPr="006F7966">
        <w:t>décisionnel</w:t>
      </w:r>
      <w:proofErr w:type="spellEnd"/>
      <w:r w:rsidRPr="006F7966">
        <w:t>.</w:t>
      </w:r>
      <w:bookmarkEnd w:id="12"/>
      <w:bookmarkEnd w:id="13"/>
    </w:p>
    <w:p w14:paraId="5641559D" w14:textId="77777777" w:rsidR="00760E8D" w:rsidRPr="006F7966" w:rsidRDefault="00760E8D" w:rsidP="00760E8D">
      <w:pPr>
        <w:pStyle w:val="JuHi"/>
        <w:numPr>
          <w:ilvl w:val="0"/>
          <w:numId w:val="2"/>
        </w:numPr>
        <w:ind w:left="1021" w:hanging="341"/>
      </w:pPr>
      <w:r w:rsidRPr="006F7966">
        <w:t>Les mesures de placement et l’exercice du droit de visite</w:t>
      </w:r>
    </w:p>
    <w:bookmarkStart w:id="14" w:name="_Hlk87266209"/>
    <w:p w14:paraId="237E592E" w14:textId="77777777" w:rsidR="00760E8D" w:rsidRPr="006F7966" w:rsidRDefault="00760E8D" w:rsidP="00760E8D">
      <w:pPr>
        <w:pStyle w:val="ECHRPara"/>
        <w:rPr>
          <w:snapToGrid w:val="0"/>
        </w:rPr>
      </w:pPr>
      <w:r w:rsidRPr="006F7966">
        <w:fldChar w:fldCharType="begin"/>
      </w:r>
      <w:r w:rsidRPr="006F7966">
        <w:instrText xml:space="preserve"> SEQ level0 \*arabic \* MERGEFORMAT </w:instrText>
      </w:r>
      <w:r w:rsidRPr="006F7966">
        <w:fldChar w:fldCharType="separate"/>
      </w:r>
      <w:r w:rsidRPr="006F7966">
        <w:rPr>
          <w:noProof/>
        </w:rPr>
        <w:t>57</w:t>
      </w:r>
      <w:r w:rsidRPr="006F7966">
        <w:fldChar w:fldCharType="end"/>
      </w:r>
      <w:r w:rsidRPr="006F7966">
        <w:t>.  </w:t>
      </w:r>
      <w:proofErr w:type="spellStart"/>
      <w:r w:rsidRPr="006F7966">
        <w:t>S’agissant</w:t>
      </w:r>
      <w:proofErr w:type="spellEnd"/>
      <w:r w:rsidRPr="006F7966">
        <w:t xml:space="preserve">, </w:t>
      </w:r>
      <w:proofErr w:type="spellStart"/>
      <w:r w:rsidRPr="006F7966">
        <w:t>en</w:t>
      </w:r>
      <w:proofErr w:type="spellEnd"/>
      <w:r w:rsidRPr="006F7966">
        <w:t xml:space="preserve"> premier lieu, de la </w:t>
      </w:r>
      <w:proofErr w:type="spellStart"/>
      <w:r w:rsidRPr="006F7966">
        <w:t>mesure</w:t>
      </w:r>
      <w:proofErr w:type="spellEnd"/>
      <w:r w:rsidRPr="006F7966">
        <w:t xml:space="preserve"> </w:t>
      </w:r>
      <w:proofErr w:type="spellStart"/>
      <w:r w:rsidRPr="006F7966">
        <w:t>initiale</w:t>
      </w:r>
      <w:proofErr w:type="spellEnd"/>
      <w:r w:rsidRPr="006F7966">
        <w:t xml:space="preserve"> de placement de </w:t>
      </w:r>
      <w:proofErr w:type="spellStart"/>
      <w:r w:rsidRPr="006F7966">
        <w:t>l’enfant</w:t>
      </w:r>
      <w:proofErr w:type="spellEnd"/>
      <w:r w:rsidRPr="006F7966">
        <w:t xml:space="preserve"> </w:t>
      </w:r>
      <w:proofErr w:type="spellStart"/>
      <w:r w:rsidRPr="006F7966">
        <w:t>auprès</w:t>
      </w:r>
      <w:proofErr w:type="spellEnd"/>
      <w:r w:rsidRPr="006F7966">
        <w:t xml:space="preserve"> de </w:t>
      </w:r>
      <w:proofErr w:type="spellStart"/>
      <w:r w:rsidRPr="006F7966">
        <w:t>l’ASE</w:t>
      </w:r>
      <w:proofErr w:type="spellEnd"/>
      <w:r w:rsidRPr="006F7966">
        <w:t xml:space="preserve">, la </w:t>
      </w:r>
      <w:proofErr w:type="spellStart"/>
      <w:r w:rsidRPr="006F7966">
        <w:t>Cour</w:t>
      </w:r>
      <w:proofErr w:type="spellEnd"/>
      <w:r w:rsidRPr="006F7966">
        <w:t xml:space="preserve"> </w:t>
      </w:r>
      <w:proofErr w:type="spellStart"/>
      <w:r w:rsidRPr="006F7966">
        <w:t>relève</w:t>
      </w:r>
      <w:proofErr w:type="spellEnd"/>
      <w:r w:rsidRPr="006F7966">
        <w:t xml:space="preserve"> </w:t>
      </w:r>
      <w:proofErr w:type="spellStart"/>
      <w:r w:rsidRPr="006F7966">
        <w:t>qu’elle</w:t>
      </w:r>
      <w:proofErr w:type="spellEnd"/>
      <w:r w:rsidRPr="006F7966">
        <w:t xml:space="preserve"> a </w:t>
      </w:r>
      <w:proofErr w:type="spellStart"/>
      <w:r w:rsidRPr="006F7966">
        <w:t>été</w:t>
      </w:r>
      <w:proofErr w:type="spellEnd"/>
      <w:r w:rsidRPr="006F7966">
        <w:t xml:space="preserve"> </w:t>
      </w:r>
      <w:proofErr w:type="spellStart"/>
      <w:r w:rsidRPr="006F7966">
        <w:t>ordonnée</w:t>
      </w:r>
      <w:proofErr w:type="spellEnd"/>
      <w:r w:rsidRPr="006F7966">
        <w:t xml:space="preserve"> dans </w:t>
      </w:r>
      <w:proofErr w:type="spellStart"/>
      <w:r w:rsidRPr="006F7966">
        <w:t>l’urgence</w:t>
      </w:r>
      <w:proofErr w:type="spellEnd"/>
      <w:r w:rsidRPr="006F7966">
        <w:t xml:space="preserve"> et à la </w:t>
      </w:r>
      <w:proofErr w:type="spellStart"/>
      <w:r w:rsidRPr="006F7966">
        <w:t>requête</w:t>
      </w:r>
      <w:proofErr w:type="spellEnd"/>
      <w:r w:rsidRPr="006F7966">
        <w:t xml:space="preserve"> du procureur de la </w:t>
      </w:r>
      <w:proofErr w:type="spellStart"/>
      <w:r w:rsidRPr="006F7966">
        <w:t>République</w:t>
      </w:r>
      <w:proofErr w:type="spellEnd"/>
      <w:r w:rsidRPr="006F7966">
        <w:t xml:space="preserve"> </w:t>
      </w:r>
      <w:proofErr w:type="spellStart"/>
      <w:r w:rsidRPr="006F7966">
        <w:t>en</w:t>
      </w:r>
      <w:proofErr w:type="spellEnd"/>
      <w:r w:rsidRPr="006F7966">
        <w:t xml:space="preserve"> raison de la </w:t>
      </w:r>
      <w:proofErr w:type="spellStart"/>
      <w:r w:rsidRPr="006F7966">
        <w:t>garde</w:t>
      </w:r>
      <w:proofErr w:type="spellEnd"/>
      <w:r w:rsidRPr="006F7966">
        <w:t xml:space="preserve"> à </w:t>
      </w:r>
      <w:proofErr w:type="spellStart"/>
      <w:r w:rsidRPr="006F7966">
        <w:t>vue</w:t>
      </w:r>
      <w:proofErr w:type="spellEnd"/>
      <w:r w:rsidRPr="006F7966">
        <w:t xml:space="preserve"> des deux parents et au regard du danger </w:t>
      </w:r>
      <w:proofErr w:type="spellStart"/>
      <w:r w:rsidRPr="006F7966">
        <w:t>qu’il</w:t>
      </w:r>
      <w:proofErr w:type="spellEnd"/>
      <w:r w:rsidRPr="006F7966">
        <w:t xml:space="preserve"> </w:t>
      </w:r>
      <w:proofErr w:type="spellStart"/>
      <w:r w:rsidRPr="006F7966">
        <w:t>courait</w:t>
      </w:r>
      <w:proofErr w:type="spellEnd"/>
      <w:r w:rsidRPr="006F7966">
        <w:t xml:space="preserve"> </w:t>
      </w:r>
      <w:proofErr w:type="spellStart"/>
      <w:r w:rsidRPr="006F7966">
        <w:t>en</w:t>
      </w:r>
      <w:proofErr w:type="spellEnd"/>
      <w:r w:rsidRPr="006F7966">
        <w:t xml:space="preserve"> </w:t>
      </w:r>
      <w:proofErr w:type="spellStart"/>
      <w:r w:rsidRPr="006F7966">
        <w:t>restant</w:t>
      </w:r>
      <w:proofErr w:type="spellEnd"/>
      <w:r w:rsidRPr="006F7966">
        <w:t xml:space="preserve"> dans </w:t>
      </w:r>
      <w:proofErr w:type="spellStart"/>
      <w:r w:rsidRPr="006F7966">
        <w:t>sa</w:t>
      </w:r>
      <w:proofErr w:type="spellEnd"/>
      <w:r w:rsidRPr="006F7966">
        <w:t xml:space="preserve"> </w:t>
      </w:r>
      <w:proofErr w:type="spellStart"/>
      <w:r w:rsidRPr="006F7966">
        <w:t>famille</w:t>
      </w:r>
      <w:proofErr w:type="spellEnd"/>
      <w:r w:rsidRPr="006F7966">
        <w:t xml:space="preserve">. Sa </w:t>
      </w:r>
      <w:proofErr w:type="spellStart"/>
      <w:r w:rsidRPr="006F7966">
        <w:t>mère</w:t>
      </w:r>
      <w:proofErr w:type="spellEnd"/>
      <w:r w:rsidRPr="006F7966">
        <w:t xml:space="preserve">, la </w:t>
      </w:r>
      <w:proofErr w:type="spellStart"/>
      <w:r w:rsidRPr="006F7966">
        <w:t>requérante</w:t>
      </w:r>
      <w:proofErr w:type="spellEnd"/>
      <w:r w:rsidRPr="006F7966">
        <w:t xml:space="preserve">, </w:t>
      </w:r>
      <w:proofErr w:type="spellStart"/>
      <w:r w:rsidRPr="006F7966">
        <w:t>était</w:t>
      </w:r>
      <w:proofErr w:type="spellEnd"/>
      <w:r w:rsidRPr="006F7966">
        <w:t xml:space="preserve"> </w:t>
      </w:r>
      <w:proofErr w:type="spellStart"/>
      <w:r w:rsidRPr="006F7966">
        <w:t>en</w:t>
      </w:r>
      <w:proofErr w:type="spellEnd"/>
      <w:r w:rsidRPr="006F7966">
        <w:t xml:space="preserve"> </w:t>
      </w:r>
      <w:proofErr w:type="spellStart"/>
      <w:r w:rsidRPr="006F7966">
        <w:t>effet</w:t>
      </w:r>
      <w:proofErr w:type="spellEnd"/>
      <w:r w:rsidRPr="006F7966">
        <w:t xml:space="preserve"> </w:t>
      </w:r>
      <w:proofErr w:type="spellStart"/>
      <w:r w:rsidRPr="006F7966">
        <w:t>suspectée</w:t>
      </w:r>
      <w:proofErr w:type="spellEnd"/>
      <w:r w:rsidRPr="006F7966">
        <w:t xml:space="preserve"> de </w:t>
      </w:r>
      <w:proofErr w:type="spellStart"/>
      <w:r w:rsidRPr="006F7966">
        <w:t>l’avoir</w:t>
      </w:r>
      <w:proofErr w:type="spellEnd"/>
      <w:r w:rsidRPr="006F7966">
        <w:t xml:space="preserve"> </w:t>
      </w:r>
      <w:proofErr w:type="spellStart"/>
      <w:r w:rsidRPr="006F7966">
        <w:t>enlevé</w:t>
      </w:r>
      <w:proofErr w:type="spellEnd"/>
      <w:r w:rsidRPr="006F7966">
        <w:t xml:space="preserve">, et son </w:t>
      </w:r>
      <w:proofErr w:type="spellStart"/>
      <w:r w:rsidRPr="006F7966">
        <w:t>père</w:t>
      </w:r>
      <w:proofErr w:type="spellEnd"/>
      <w:r w:rsidRPr="006F7966">
        <w:t xml:space="preserve"> </w:t>
      </w:r>
      <w:proofErr w:type="spellStart"/>
      <w:r w:rsidRPr="006F7966">
        <w:t>était</w:t>
      </w:r>
      <w:proofErr w:type="spellEnd"/>
      <w:r w:rsidRPr="006F7966">
        <w:t xml:space="preserve"> </w:t>
      </w:r>
      <w:proofErr w:type="spellStart"/>
      <w:r w:rsidRPr="006F7966">
        <w:t>accusé</w:t>
      </w:r>
      <w:proofErr w:type="spellEnd"/>
      <w:r w:rsidRPr="006F7966">
        <w:t xml:space="preserve"> par </w:t>
      </w:r>
      <w:proofErr w:type="spellStart"/>
      <w:r w:rsidRPr="006F7966">
        <w:t>cette</w:t>
      </w:r>
      <w:proofErr w:type="spellEnd"/>
      <w:r w:rsidRPr="006F7966">
        <w:t xml:space="preserve"> </w:t>
      </w:r>
      <w:proofErr w:type="spellStart"/>
      <w:r w:rsidRPr="006F7966">
        <w:t>dernière</w:t>
      </w:r>
      <w:proofErr w:type="spellEnd"/>
      <w:r w:rsidRPr="006F7966">
        <w:t xml:space="preserve"> de viols et de </w:t>
      </w:r>
      <w:proofErr w:type="spellStart"/>
      <w:r w:rsidRPr="006F7966">
        <w:t>violences</w:t>
      </w:r>
      <w:proofErr w:type="spellEnd"/>
      <w:r w:rsidRPr="006F7966">
        <w:t xml:space="preserve"> </w:t>
      </w:r>
      <w:proofErr w:type="spellStart"/>
      <w:r w:rsidRPr="006F7966">
        <w:t>conjugales</w:t>
      </w:r>
      <w:proofErr w:type="spellEnd"/>
      <w:r w:rsidRPr="006F7966">
        <w:t xml:space="preserve"> </w:t>
      </w:r>
      <w:proofErr w:type="spellStart"/>
      <w:r w:rsidRPr="006F7966">
        <w:t>ainsi</w:t>
      </w:r>
      <w:proofErr w:type="spellEnd"/>
      <w:r w:rsidRPr="006F7966">
        <w:t xml:space="preserve"> que </w:t>
      </w:r>
      <w:proofErr w:type="spellStart"/>
      <w:r w:rsidRPr="006F7966">
        <w:t>d’agressions</w:t>
      </w:r>
      <w:proofErr w:type="spellEnd"/>
      <w:r w:rsidRPr="006F7966">
        <w:t xml:space="preserve"> </w:t>
      </w:r>
      <w:proofErr w:type="spellStart"/>
      <w:r w:rsidRPr="006F7966">
        <w:t>sexuelles</w:t>
      </w:r>
      <w:proofErr w:type="spellEnd"/>
      <w:r w:rsidRPr="006F7966">
        <w:t xml:space="preserve"> sur </w:t>
      </w:r>
      <w:proofErr w:type="spellStart"/>
      <w:r w:rsidRPr="006F7966">
        <w:t>mineur</w:t>
      </w:r>
      <w:proofErr w:type="spellEnd"/>
      <w:r w:rsidRPr="006F7966">
        <w:t xml:space="preserve">. Il </w:t>
      </w:r>
      <w:proofErr w:type="spellStart"/>
      <w:r w:rsidRPr="006F7966">
        <w:t>ressort</w:t>
      </w:r>
      <w:proofErr w:type="spellEnd"/>
      <w:r w:rsidRPr="006F7966">
        <w:t xml:space="preserve"> </w:t>
      </w:r>
      <w:proofErr w:type="spellStart"/>
      <w:r w:rsidRPr="006F7966">
        <w:t>ainsi</w:t>
      </w:r>
      <w:proofErr w:type="spellEnd"/>
      <w:r w:rsidRPr="006F7966">
        <w:t xml:space="preserve"> du dossier que </w:t>
      </w:r>
      <w:proofErr w:type="spellStart"/>
      <w:r w:rsidRPr="006F7966">
        <w:t>l’enfant</w:t>
      </w:r>
      <w:proofErr w:type="spellEnd"/>
      <w:r w:rsidRPr="006F7966">
        <w:t xml:space="preserve"> a </w:t>
      </w:r>
      <w:proofErr w:type="spellStart"/>
      <w:r w:rsidRPr="006F7966">
        <w:t>été</w:t>
      </w:r>
      <w:proofErr w:type="spellEnd"/>
      <w:r w:rsidRPr="006F7966">
        <w:t xml:space="preserve"> </w:t>
      </w:r>
      <w:proofErr w:type="spellStart"/>
      <w:r w:rsidRPr="006F7966">
        <w:t>placé</w:t>
      </w:r>
      <w:proofErr w:type="spellEnd"/>
      <w:r w:rsidRPr="006F7966">
        <w:t xml:space="preserve"> </w:t>
      </w:r>
      <w:proofErr w:type="spellStart"/>
      <w:r w:rsidRPr="006F7966">
        <w:t>provisoirement</w:t>
      </w:r>
      <w:proofErr w:type="spellEnd"/>
      <w:r w:rsidRPr="006F7966">
        <w:t xml:space="preserve"> pour des motifs tenant à </w:t>
      </w:r>
      <w:proofErr w:type="spellStart"/>
      <w:r w:rsidRPr="006F7966">
        <w:t>sa</w:t>
      </w:r>
      <w:proofErr w:type="spellEnd"/>
      <w:r w:rsidRPr="006F7966">
        <w:t xml:space="preserve"> </w:t>
      </w:r>
      <w:proofErr w:type="spellStart"/>
      <w:r w:rsidRPr="006F7966">
        <w:t>sécurité</w:t>
      </w:r>
      <w:proofErr w:type="spellEnd"/>
      <w:r w:rsidRPr="006F7966">
        <w:t xml:space="preserve">, le temps pour les </w:t>
      </w:r>
      <w:proofErr w:type="spellStart"/>
      <w:r w:rsidRPr="006F7966">
        <w:t>autorités</w:t>
      </w:r>
      <w:proofErr w:type="spellEnd"/>
      <w:r w:rsidRPr="006F7966">
        <w:t xml:space="preserve"> </w:t>
      </w:r>
      <w:proofErr w:type="spellStart"/>
      <w:r w:rsidRPr="006F7966">
        <w:t>compétentes</w:t>
      </w:r>
      <w:proofErr w:type="spellEnd"/>
      <w:r w:rsidRPr="006F7966">
        <w:t xml:space="preserve"> </w:t>
      </w:r>
      <w:proofErr w:type="spellStart"/>
      <w:r w:rsidRPr="006F7966">
        <w:t>d’obtenir</w:t>
      </w:r>
      <w:proofErr w:type="spellEnd"/>
      <w:r w:rsidRPr="006F7966">
        <w:t xml:space="preserve"> </w:t>
      </w:r>
      <w:proofErr w:type="spellStart"/>
      <w:r w:rsidRPr="006F7966">
        <w:t>une</w:t>
      </w:r>
      <w:proofErr w:type="spellEnd"/>
      <w:r w:rsidRPr="006F7966">
        <w:t xml:space="preserve"> expertise </w:t>
      </w:r>
      <w:proofErr w:type="spellStart"/>
      <w:r w:rsidRPr="006F7966">
        <w:t>psychiatrique</w:t>
      </w:r>
      <w:proofErr w:type="spellEnd"/>
      <w:r w:rsidRPr="006F7966">
        <w:t xml:space="preserve"> de </w:t>
      </w:r>
      <w:proofErr w:type="spellStart"/>
      <w:r w:rsidRPr="006F7966">
        <w:t>ses</w:t>
      </w:r>
      <w:proofErr w:type="spellEnd"/>
      <w:r w:rsidRPr="006F7966">
        <w:t xml:space="preserve"> parents et </w:t>
      </w:r>
      <w:proofErr w:type="spellStart"/>
      <w:r w:rsidRPr="006F7966">
        <w:t>d’effectuer</w:t>
      </w:r>
      <w:proofErr w:type="spellEnd"/>
      <w:r w:rsidRPr="006F7966">
        <w:t xml:space="preserve"> les </w:t>
      </w:r>
      <w:proofErr w:type="spellStart"/>
      <w:r w:rsidRPr="006F7966">
        <w:t>mesures</w:t>
      </w:r>
      <w:proofErr w:type="spellEnd"/>
      <w:r w:rsidRPr="006F7966">
        <w:t xml:space="preserve"> </w:t>
      </w:r>
      <w:proofErr w:type="spellStart"/>
      <w:r w:rsidRPr="006F7966">
        <w:t>d’investigation</w:t>
      </w:r>
      <w:proofErr w:type="spellEnd"/>
      <w:r w:rsidRPr="006F7966">
        <w:t xml:space="preserve"> </w:t>
      </w:r>
      <w:proofErr w:type="spellStart"/>
      <w:r w:rsidRPr="006F7966">
        <w:t>qu’impliquait</w:t>
      </w:r>
      <w:proofErr w:type="spellEnd"/>
      <w:r w:rsidRPr="006F7966">
        <w:t xml:space="preserve"> le </w:t>
      </w:r>
      <w:proofErr w:type="spellStart"/>
      <w:r w:rsidRPr="006F7966">
        <w:t>dépôt</w:t>
      </w:r>
      <w:proofErr w:type="spellEnd"/>
      <w:r w:rsidRPr="006F7966">
        <w:t xml:space="preserve"> de </w:t>
      </w:r>
      <w:proofErr w:type="spellStart"/>
      <w:r w:rsidRPr="006F7966">
        <w:t>leurs</w:t>
      </w:r>
      <w:proofErr w:type="spellEnd"/>
      <w:r w:rsidRPr="006F7966">
        <w:t xml:space="preserve"> </w:t>
      </w:r>
      <w:proofErr w:type="spellStart"/>
      <w:r w:rsidRPr="006F7966">
        <w:t>plaintes</w:t>
      </w:r>
      <w:proofErr w:type="spellEnd"/>
      <w:r w:rsidRPr="006F7966">
        <w:t xml:space="preserve"> </w:t>
      </w:r>
      <w:proofErr w:type="spellStart"/>
      <w:r w:rsidRPr="006F7966">
        <w:t>respectives</w:t>
      </w:r>
      <w:proofErr w:type="spellEnd"/>
      <w:r w:rsidRPr="006F7966">
        <w:t xml:space="preserve"> dans des commissariats </w:t>
      </w:r>
      <w:proofErr w:type="spellStart"/>
      <w:r w:rsidRPr="006F7966">
        <w:t>différents</w:t>
      </w:r>
      <w:proofErr w:type="spellEnd"/>
      <w:r w:rsidRPr="006F7966">
        <w:t xml:space="preserve">. Il </w:t>
      </w:r>
      <w:proofErr w:type="spellStart"/>
      <w:r w:rsidRPr="006F7966">
        <w:t>s’agissait</w:t>
      </w:r>
      <w:proofErr w:type="spellEnd"/>
      <w:r w:rsidRPr="006F7966">
        <w:t xml:space="preserve"> </w:t>
      </w:r>
      <w:proofErr w:type="spellStart"/>
      <w:r w:rsidRPr="006F7966">
        <w:t>alors</w:t>
      </w:r>
      <w:proofErr w:type="spellEnd"/>
      <w:r w:rsidRPr="006F7966">
        <w:t xml:space="preserve"> tant de le </w:t>
      </w:r>
      <w:proofErr w:type="spellStart"/>
      <w:r w:rsidRPr="006F7966">
        <w:t>protéger</w:t>
      </w:r>
      <w:proofErr w:type="spellEnd"/>
      <w:r w:rsidRPr="006F7966">
        <w:t xml:space="preserve"> des </w:t>
      </w:r>
      <w:proofErr w:type="spellStart"/>
      <w:r w:rsidRPr="006F7966">
        <w:t>prétendus</w:t>
      </w:r>
      <w:proofErr w:type="spellEnd"/>
      <w:r w:rsidRPr="006F7966">
        <w:t xml:space="preserve"> </w:t>
      </w:r>
      <w:proofErr w:type="spellStart"/>
      <w:r w:rsidRPr="006F7966">
        <w:t>agissements</w:t>
      </w:r>
      <w:proofErr w:type="spellEnd"/>
      <w:r w:rsidRPr="006F7966">
        <w:t xml:space="preserve"> de son </w:t>
      </w:r>
      <w:proofErr w:type="spellStart"/>
      <w:r w:rsidRPr="006F7966">
        <w:t>père</w:t>
      </w:r>
      <w:proofErr w:type="spellEnd"/>
      <w:r w:rsidRPr="006F7966">
        <w:t xml:space="preserve"> que de </w:t>
      </w:r>
      <w:proofErr w:type="spellStart"/>
      <w:r w:rsidRPr="006F7966">
        <w:t>vérifier</w:t>
      </w:r>
      <w:proofErr w:type="spellEnd"/>
      <w:r w:rsidRPr="006F7966">
        <w:t xml:space="preserve"> le bien-</w:t>
      </w:r>
      <w:proofErr w:type="spellStart"/>
      <w:r w:rsidRPr="006F7966">
        <w:t>fondé</w:t>
      </w:r>
      <w:proofErr w:type="spellEnd"/>
      <w:r w:rsidRPr="006F7966">
        <w:t xml:space="preserve"> des </w:t>
      </w:r>
      <w:proofErr w:type="spellStart"/>
      <w:r w:rsidRPr="006F7966">
        <w:t>allégations</w:t>
      </w:r>
      <w:proofErr w:type="spellEnd"/>
      <w:r w:rsidRPr="006F7966">
        <w:t xml:space="preserve"> </w:t>
      </w:r>
      <w:proofErr w:type="spellStart"/>
      <w:r w:rsidRPr="006F7966">
        <w:t>d’enlèvement</w:t>
      </w:r>
      <w:proofErr w:type="spellEnd"/>
      <w:r w:rsidRPr="006F7966">
        <w:t xml:space="preserve"> d’enfant par un parent qui </w:t>
      </w:r>
      <w:proofErr w:type="spellStart"/>
      <w:r w:rsidRPr="006F7966">
        <w:t>avait</w:t>
      </w:r>
      <w:proofErr w:type="spellEnd"/>
      <w:r w:rsidRPr="006F7966">
        <w:t xml:space="preserve"> </w:t>
      </w:r>
      <w:proofErr w:type="spellStart"/>
      <w:r w:rsidRPr="006F7966">
        <w:t>quitté</w:t>
      </w:r>
      <w:proofErr w:type="spellEnd"/>
      <w:r w:rsidRPr="006F7966">
        <w:t xml:space="preserve"> le domicile conjugal </w:t>
      </w:r>
      <w:proofErr w:type="spellStart"/>
      <w:r w:rsidRPr="006F7966">
        <w:t>depuis</w:t>
      </w:r>
      <w:proofErr w:type="spellEnd"/>
      <w:r w:rsidRPr="006F7966">
        <w:t xml:space="preserve"> </w:t>
      </w:r>
      <w:proofErr w:type="spellStart"/>
      <w:r w:rsidRPr="006F7966">
        <w:t>quarante-huit</w:t>
      </w:r>
      <w:proofErr w:type="spellEnd"/>
      <w:r w:rsidRPr="006F7966">
        <w:t xml:space="preserve"> </w:t>
      </w:r>
      <w:proofErr w:type="spellStart"/>
      <w:r w:rsidRPr="006F7966">
        <w:t>heures</w:t>
      </w:r>
      <w:proofErr w:type="spellEnd"/>
      <w:r w:rsidRPr="006F7966">
        <w:t xml:space="preserve"> et qui </w:t>
      </w:r>
      <w:proofErr w:type="spellStart"/>
      <w:r w:rsidRPr="006F7966">
        <w:t>n’avait</w:t>
      </w:r>
      <w:proofErr w:type="spellEnd"/>
      <w:r w:rsidRPr="006F7966">
        <w:t xml:space="preserve"> </w:t>
      </w:r>
      <w:proofErr w:type="spellStart"/>
      <w:r w:rsidRPr="006F7966">
        <w:t>aucune</w:t>
      </w:r>
      <w:proofErr w:type="spellEnd"/>
      <w:r w:rsidRPr="006F7966">
        <w:t xml:space="preserve"> </w:t>
      </w:r>
      <w:proofErr w:type="spellStart"/>
      <w:r w:rsidRPr="006F7966">
        <w:t>garantie</w:t>
      </w:r>
      <w:proofErr w:type="spellEnd"/>
      <w:r w:rsidRPr="006F7966">
        <w:t xml:space="preserve"> de </w:t>
      </w:r>
      <w:proofErr w:type="spellStart"/>
      <w:r w:rsidRPr="006F7966">
        <w:t>représentation</w:t>
      </w:r>
      <w:proofErr w:type="spellEnd"/>
      <w:r w:rsidRPr="006F7966">
        <w:t xml:space="preserve"> </w:t>
      </w:r>
      <w:proofErr w:type="spellStart"/>
      <w:r w:rsidRPr="006F7966">
        <w:t>connue</w:t>
      </w:r>
      <w:proofErr w:type="spellEnd"/>
      <w:r w:rsidRPr="006F7966">
        <w:t xml:space="preserve"> des forces de </w:t>
      </w:r>
      <w:proofErr w:type="spellStart"/>
      <w:r w:rsidRPr="006F7966">
        <w:t>l’ordre</w:t>
      </w:r>
      <w:proofErr w:type="spellEnd"/>
      <w:r w:rsidRPr="006F7966">
        <w:t xml:space="preserve">. Il </w:t>
      </w:r>
      <w:proofErr w:type="spellStart"/>
      <w:r w:rsidRPr="006F7966">
        <w:t>convenait</w:t>
      </w:r>
      <w:proofErr w:type="spellEnd"/>
      <w:r w:rsidRPr="006F7966">
        <w:t xml:space="preserve"> </w:t>
      </w:r>
      <w:proofErr w:type="spellStart"/>
      <w:r w:rsidRPr="006F7966">
        <w:t>ainsi</w:t>
      </w:r>
      <w:proofErr w:type="spellEnd"/>
      <w:r w:rsidRPr="006F7966">
        <w:t xml:space="preserve"> de </w:t>
      </w:r>
      <w:proofErr w:type="spellStart"/>
      <w:r w:rsidRPr="006F7966">
        <w:t>parer</w:t>
      </w:r>
      <w:proofErr w:type="spellEnd"/>
      <w:r w:rsidRPr="006F7966">
        <w:t xml:space="preserve"> à un danger qui </w:t>
      </w:r>
      <w:proofErr w:type="spellStart"/>
      <w:r w:rsidRPr="006F7966">
        <w:t>n’avait</w:t>
      </w:r>
      <w:proofErr w:type="spellEnd"/>
      <w:r w:rsidRPr="006F7966">
        <w:t xml:space="preserve"> </w:t>
      </w:r>
      <w:proofErr w:type="spellStart"/>
      <w:r w:rsidRPr="006F7966">
        <w:t>rien</w:t>
      </w:r>
      <w:proofErr w:type="spellEnd"/>
      <w:r w:rsidRPr="006F7966">
        <w:t xml:space="preserve"> </w:t>
      </w:r>
      <w:proofErr w:type="spellStart"/>
      <w:r w:rsidRPr="006F7966">
        <w:t>d’hypothétique</w:t>
      </w:r>
      <w:proofErr w:type="spellEnd"/>
      <w:r w:rsidRPr="006F7966">
        <w:t xml:space="preserve">, </w:t>
      </w:r>
      <w:proofErr w:type="spellStart"/>
      <w:r w:rsidRPr="006F7966">
        <w:t>ainsi</w:t>
      </w:r>
      <w:proofErr w:type="spellEnd"/>
      <w:r w:rsidRPr="006F7966">
        <w:t xml:space="preserve"> que </w:t>
      </w:r>
      <w:proofErr w:type="spellStart"/>
      <w:r w:rsidRPr="006F7966">
        <w:t>cela</w:t>
      </w:r>
      <w:proofErr w:type="spellEnd"/>
      <w:r w:rsidRPr="006F7966">
        <w:t xml:space="preserve"> </w:t>
      </w:r>
      <w:proofErr w:type="spellStart"/>
      <w:r w:rsidRPr="006F7966">
        <w:t>ressort</w:t>
      </w:r>
      <w:proofErr w:type="spellEnd"/>
      <w:r w:rsidRPr="006F7966">
        <w:t xml:space="preserve"> de </w:t>
      </w:r>
      <w:proofErr w:type="spellStart"/>
      <w:r w:rsidRPr="006F7966">
        <w:t>l’ordonnance</w:t>
      </w:r>
      <w:proofErr w:type="spellEnd"/>
      <w:r w:rsidRPr="006F7966">
        <w:t xml:space="preserve"> de placement </w:t>
      </w:r>
      <w:proofErr w:type="spellStart"/>
      <w:r w:rsidRPr="006F7966">
        <w:t>provisoire</w:t>
      </w:r>
      <w:proofErr w:type="spellEnd"/>
      <w:r w:rsidRPr="006F7966">
        <w:t xml:space="preserve"> du procureur de la </w:t>
      </w:r>
      <w:proofErr w:type="spellStart"/>
      <w:r w:rsidRPr="006F7966">
        <w:t>République</w:t>
      </w:r>
      <w:proofErr w:type="spellEnd"/>
      <w:r w:rsidRPr="006F7966">
        <w:t xml:space="preserve"> (</w:t>
      </w:r>
      <w:proofErr w:type="spellStart"/>
      <w:r w:rsidRPr="006F7966">
        <w:t>paragraphe</w:t>
      </w:r>
      <w:proofErr w:type="spellEnd"/>
      <w:r w:rsidRPr="006F7966">
        <w:t xml:space="preserve"> 10 ci-dessus).</w:t>
      </w:r>
      <w:r w:rsidRPr="006F7966">
        <w:rPr>
          <w:snapToGrid w:val="0"/>
        </w:rPr>
        <w:t xml:space="preserve"> Une </w:t>
      </w:r>
      <w:proofErr w:type="spellStart"/>
      <w:r w:rsidRPr="006F7966">
        <w:rPr>
          <w:snapToGrid w:val="0"/>
        </w:rPr>
        <w:t>fois</w:t>
      </w:r>
      <w:proofErr w:type="spellEnd"/>
      <w:r w:rsidRPr="006F7966">
        <w:rPr>
          <w:snapToGrid w:val="0"/>
        </w:rPr>
        <w:t xml:space="preserve"> </w:t>
      </w:r>
      <w:proofErr w:type="spellStart"/>
      <w:r w:rsidRPr="006F7966">
        <w:rPr>
          <w:snapToGrid w:val="0"/>
        </w:rPr>
        <w:t>ce</w:t>
      </w:r>
      <w:proofErr w:type="spellEnd"/>
      <w:r w:rsidRPr="006F7966">
        <w:rPr>
          <w:snapToGrid w:val="0"/>
        </w:rPr>
        <w:t xml:space="preserve"> danger </w:t>
      </w:r>
      <w:proofErr w:type="spellStart"/>
      <w:r w:rsidRPr="006F7966">
        <w:rPr>
          <w:snapToGrid w:val="0"/>
        </w:rPr>
        <w:t>écarté</w:t>
      </w:r>
      <w:proofErr w:type="spellEnd"/>
      <w:r w:rsidRPr="006F7966">
        <w:rPr>
          <w:snapToGrid w:val="0"/>
        </w:rPr>
        <w:t xml:space="preserve">, la </w:t>
      </w:r>
      <w:proofErr w:type="spellStart"/>
      <w:r w:rsidRPr="006F7966">
        <w:rPr>
          <w:snapToGrid w:val="0"/>
        </w:rPr>
        <w:t>requérante</w:t>
      </w:r>
      <w:proofErr w:type="spellEnd"/>
      <w:r w:rsidRPr="006F7966">
        <w:rPr>
          <w:snapToGrid w:val="0"/>
        </w:rPr>
        <w:t xml:space="preserve"> et M. </w:t>
      </w:r>
      <w:proofErr w:type="spellStart"/>
      <w:r w:rsidRPr="006F7966">
        <w:rPr>
          <w:snapToGrid w:val="0"/>
        </w:rPr>
        <w:t>purent</w:t>
      </w:r>
      <w:proofErr w:type="spellEnd"/>
      <w:r w:rsidRPr="006F7966">
        <w:rPr>
          <w:snapToGrid w:val="0"/>
        </w:rPr>
        <w:t xml:space="preserve"> </w:t>
      </w:r>
      <w:proofErr w:type="spellStart"/>
      <w:r w:rsidRPr="006F7966">
        <w:rPr>
          <w:snapToGrid w:val="0"/>
        </w:rPr>
        <w:t>rendre</w:t>
      </w:r>
      <w:proofErr w:type="spellEnd"/>
      <w:r w:rsidRPr="006F7966">
        <w:rPr>
          <w:snapToGrid w:val="0"/>
        </w:rPr>
        <w:t xml:space="preserve"> </w:t>
      </w:r>
      <w:proofErr w:type="spellStart"/>
      <w:r w:rsidRPr="006F7966">
        <w:rPr>
          <w:snapToGrid w:val="0"/>
        </w:rPr>
        <w:t>visite</w:t>
      </w:r>
      <w:proofErr w:type="spellEnd"/>
      <w:r w:rsidRPr="006F7966">
        <w:rPr>
          <w:snapToGrid w:val="0"/>
        </w:rPr>
        <w:t xml:space="preserve"> à </w:t>
      </w:r>
      <w:proofErr w:type="spellStart"/>
      <w:r w:rsidRPr="006F7966">
        <w:rPr>
          <w:snapToGrid w:val="0"/>
        </w:rPr>
        <w:t>leur</w:t>
      </w:r>
      <w:proofErr w:type="spellEnd"/>
      <w:r w:rsidRPr="006F7966">
        <w:rPr>
          <w:snapToGrid w:val="0"/>
        </w:rPr>
        <w:t xml:space="preserve"> fille à la </w:t>
      </w:r>
      <w:proofErr w:type="spellStart"/>
      <w:r w:rsidRPr="006F7966">
        <w:rPr>
          <w:snapToGrid w:val="0"/>
        </w:rPr>
        <w:t>pouponnière</w:t>
      </w:r>
      <w:proofErr w:type="spellEnd"/>
      <w:r w:rsidRPr="006F7966">
        <w:rPr>
          <w:snapToGrid w:val="0"/>
        </w:rPr>
        <w:t xml:space="preserve"> (</w:t>
      </w:r>
      <w:proofErr w:type="spellStart"/>
      <w:r w:rsidRPr="006F7966">
        <w:rPr>
          <w:snapToGrid w:val="0"/>
        </w:rPr>
        <w:t>paragraphe</w:t>
      </w:r>
      <w:proofErr w:type="spellEnd"/>
      <w:r w:rsidRPr="006F7966">
        <w:rPr>
          <w:snapToGrid w:val="0"/>
        </w:rPr>
        <w:t xml:space="preserve"> 8 ci-dessus).</w:t>
      </w:r>
    </w:p>
    <w:bookmarkEnd w:id="14"/>
    <w:p w14:paraId="412FF7D4" w14:textId="77777777" w:rsidR="00760E8D" w:rsidRPr="006F7966" w:rsidRDefault="00760E8D" w:rsidP="00760E8D">
      <w:pPr>
        <w:pStyle w:val="ECHRPara"/>
      </w:pPr>
      <w:r w:rsidRPr="006F7966">
        <w:fldChar w:fldCharType="begin"/>
      </w:r>
      <w:r w:rsidRPr="006F7966">
        <w:instrText xml:space="preserve"> SEQ level0 \*arabic \* MERGEFORMAT </w:instrText>
      </w:r>
      <w:r w:rsidRPr="006F7966">
        <w:fldChar w:fldCharType="separate"/>
      </w:r>
      <w:r w:rsidRPr="006F7966">
        <w:rPr>
          <w:noProof/>
        </w:rPr>
        <w:t>58</w:t>
      </w:r>
      <w:r w:rsidRPr="006F7966">
        <w:fldChar w:fldCharType="end"/>
      </w:r>
      <w:r w:rsidRPr="006F7966">
        <w:t>.  </w:t>
      </w:r>
      <w:proofErr w:type="spellStart"/>
      <w:r w:rsidRPr="006F7966">
        <w:t>S’agissant</w:t>
      </w:r>
      <w:proofErr w:type="spellEnd"/>
      <w:r w:rsidRPr="006F7966">
        <w:t xml:space="preserve">, </w:t>
      </w:r>
      <w:proofErr w:type="spellStart"/>
      <w:r w:rsidRPr="006F7966">
        <w:t>en</w:t>
      </w:r>
      <w:proofErr w:type="spellEnd"/>
      <w:r w:rsidRPr="006F7966">
        <w:t xml:space="preserve"> </w:t>
      </w:r>
      <w:proofErr w:type="spellStart"/>
      <w:r w:rsidRPr="006F7966">
        <w:t>deuxième</w:t>
      </w:r>
      <w:proofErr w:type="spellEnd"/>
      <w:r w:rsidRPr="006F7966">
        <w:t xml:space="preserve"> lieu, du </w:t>
      </w:r>
      <w:proofErr w:type="spellStart"/>
      <w:r w:rsidRPr="006F7966">
        <w:t>maintien</w:t>
      </w:r>
      <w:proofErr w:type="spellEnd"/>
      <w:r w:rsidRPr="006F7966">
        <w:t xml:space="preserve"> de la </w:t>
      </w:r>
      <w:proofErr w:type="spellStart"/>
      <w:r w:rsidRPr="006F7966">
        <w:t>mesure</w:t>
      </w:r>
      <w:proofErr w:type="spellEnd"/>
      <w:r w:rsidRPr="006F7966">
        <w:t xml:space="preserve"> du placement de </w:t>
      </w:r>
      <w:proofErr w:type="spellStart"/>
      <w:r w:rsidRPr="006F7966">
        <w:t>l’enfant</w:t>
      </w:r>
      <w:proofErr w:type="spellEnd"/>
      <w:r w:rsidRPr="006F7966">
        <w:t xml:space="preserve">, la </w:t>
      </w:r>
      <w:proofErr w:type="spellStart"/>
      <w:r w:rsidRPr="006F7966">
        <w:t>Cour</w:t>
      </w:r>
      <w:proofErr w:type="spellEnd"/>
      <w:r w:rsidRPr="006F7966">
        <w:t xml:space="preserve"> </w:t>
      </w:r>
      <w:proofErr w:type="spellStart"/>
      <w:r w:rsidRPr="006F7966">
        <w:t>relève</w:t>
      </w:r>
      <w:proofErr w:type="spellEnd"/>
      <w:r w:rsidRPr="006F7966">
        <w:t xml:space="preserve"> </w:t>
      </w:r>
      <w:proofErr w:type="spellStart"/>
      <w:r w:rsidRPr="006F7966">
        <w:t>qu’il</w:t>
      </w:r>
      <w:proofErr w:type="spellEnd"/>
      <w:r w:rsidRPr="006F7966">
        <w:t xml:space="preserve"> a </w:t>
      </w:r>
      <w:proofErr w:type="spellStart"/>
      <w:r w:rsidRPr="006F7966">
        <w:t>été</w:t>
      </w:r>
      <w:proofErr w:type="spellEnd"/>
      <w:r w:rsidRPr="006F7966">
        <w:t xml:space="preserve"> </w:t>
      </w:r>
      <w:proofErr w:type="spellStart"/>
      <w:r w:rsidRPr="006F7966">
        <w:t>décidé</w:t>
      </w:r>
      <w:proofErr w:type="spellEnd"/>
      <w:r w:rsidRPr="006F7966">
        <w:t xml:space="preserve"> par le JE dans un premier temps pour </w:t>
      </w:r>
      <w:proofErr w:type="spellStart"/>
      <w:r w:rsidRPr="006F7966">
        <w:t>une</w:t>
      </w:r>
      <w:proofErr w:type="spellEnd"/>
      <w:r w:rsidRPr="006F7966">
        <w:t xml:space="preserve"> durée de six </w:t>
      </w:r>
      <w:proofErr w:type="spellStart"/>
      <w:r w:rsidRPr="006F7966">
        <w:t>mois</w:t>
      </w:r>
      <w:proofErr w:type="spellEnd"/>
      <w:r w:rsidRPr="006F7966">
        <w:t xml:space="preserve">, </w:t>
      </w:r>
      <w:proofErr w:type="spellStart"/>
      <w:r w:rsidRPr="006F7966">
        <w:t>en</w:t>
      </w:r>
      <w:proofErr w:type="spellEnd"/>
      <w:r w:rsidRPr="006F7966">
        <w:t xml:space="preserve"> raison des </w:t>
      </w:r>
      <w:proofErr w:type="spellStart"/>
      <w:r w:rsidRPr="006F7966">
        <w:t>difficultés</w:t>
      </w:r>
      <w:proofErr w:type="spellEnd"/>
      <w:r w:rsidRPr="006F7966">
        <w:t xml:space="preserve"> </w:t>
      </w:r>
      <w:proofErr w:type="spellStart"/>
      <w:r w:rsidRPr="006F7966">
        <w:t>observées</w:t>
      </w:r>
      <w:proofErr w:type="spellEnd"/>
      <w:r w:rsidRPr="006F7966">
        <w:t xml:space="preserve"> dans la relation entre </w:t>
      </w:r>
      <w:proofErr w:type="spellStart"/>
      <w:r w:rsidRPr="006F7966">
        <w:t>chaque</w:t>
      </w:r>
      <w:proofErr w:type="spellEnd"/>
      <w:r w:rsidRPr="006F7966">
        <w:t xml:space="preserve"> parent et la </w:t>
      </w:r>
      <w:proofErr w:type="spellStart"/>
      <w:r w:rsidRPr="006F7966">
        <w:t>mineure</w:t>
      </w:r>
      <w:proofErr w:type="spellEnd"/>
      <w:r w:rsidRPr="006F7966">
        <w:t xml:space="preserve"> et de la </w:t>
      </w:r>
      <w:proofErr w:type="spellStart"/>
      <w:r w:rsidRPr="006F7966">
        <w:t>nécessité</w:t>
      </w:r>
      <w:proofErr w:type="spellEnd"/>
      <w:r w:rsidRPr="006F7966">
        <w:t xml:space="preserve"> </w:t>
      </w:r>
      <w:proofErr w:type="spellStart"/>
      <w:r w:rsidRPr="006F7966">
        <w:t>d’évaluer</w:t>
      </w:r>
      <w:proofErr w:type="spellEnd"/>
      <w:r w:rsidRPr="006F7966">
        <w:t xml:space="preserve"> la </w:t>
      </w:r>
      <w:proofErr w:type="spellStart"/>
      <w:r w:rsidRPr="006F7966">
        <w:t>capacité</w:t>
      </w:r>
      <w:proofErr w:type="spellEnd"/>
      <w:r w:rsidRPr="006F7966">
        <w:t xml:space="preserve"> de </w:t>
      </w:r>
      <w:proofErr w:type="spellStart"/>
      <w:r w:rsidRPr="006F7966">
        <w:t>chacun</w:t>
      </w:r>
      <w:proofErr w:type="spellEnd"/>
      <w:r w:rsidRPr="006F7966">
        <w:t xml:space="preserve"> </w:t>
      </w:r>
      <w:proofErr w:type="spellStart"/>
      <w:r w:rsidRPr="006F7966">
        <w:t>d’entre</w:t>
      </w:r>
      <w:proofErr w:type="spellEnd"/>
      <w:r w:rsidRPr="006F7966">
        <w:t xml:space="preserve"> </w:t>
      </w:r>
      <w:proofErr w:type="spellStart"/>
      <w:r w:rsidRPr="006F7966">
        <w:t>eux</w:t>
      </w:r>
      <w:proofErr w:type="spellEnd"/>
      <w:r w:rsidRPr="006F7966">
        <w:t xml:space="preserve"> à </w:t>
      </w:r>
      <w:proofErr w:type="spellStart"/>
      <w:r w:rsidRPr="006F7966">
        <w:t>s’occuper</w:t>
      </w:r>
      <w:proofErr w:type="spellEnd"/>
      <w:r w:rsidRPr="006F7966">
        <w:t xml:space="preserve"> </w:t>
      </w:r>
      <w:proofErr w:type="spellStart"/>
      <w:r w:rsidRPr="006F7966">
        <w:t>correctement</w:t>
      </w:r>
      <w:proofErr w:type="spellEnd"/>
      <w:r w:rsidRPr="006F7966">
        <w:t xml:space="preserve"> </w:t>
      </w:r>
      <w:proofErr w:type="spellStart"/>
      <w:r w:rsidRPr="006F7966">
        <w:t>d’elle</w:t>
      </w:r>
      <w:proofErr w:type="spellEnd"/>
      <w:r w:rsidRPr="006F7966">
        <w:t xml:space="preserve">. </w:t>
      </w:r>
      <w:proofErr w:type="spellStart"/>
      <w:r w:rsidRPr="006F7966">
        <w:t>Cette</w:t>
      </w:r>
      <w:proofErr w:type="spellEnd"/>
      <w:r w:rsidRPr="006F7966">
        <w:t xml:space="preserve"> </w:t>
      </w:r>
      <w:proofErr w:type="spellStart"/>
      <w:r w:rsidRPr="006F7966">
        <w:t>décision</w:t>
      </w:r>
      <w:proofErr w:type="spellEnd"/>
      <w:r w:rsidRPr="006F7966">
        <w:t xml:space="preserve"> a </w:t>
      </w:r>
      <w:proofErr w:type="spellStart"/>
      <w:r w:rsidRPr="006F7966">
        <w:t>été</w:t>
      </w:r>
      <w:proofErr w:type="spellEnd"/>
      <w:r w:rsidRPr="006F7966">
        <w:t xml:space="preserve"> prise au vu du rapport de </w:t>
      </w:r>
      <w:proofErr w:type="spellStart"/>
      <w:r w:rsidRPr="006F7966">
        <w:t>l’ASE</w:t>
      </w:r>
      <w:proofErr w:type="spellEnd"/>
      <w:r w:rsidRPr="006F7966">
        <w:t xml:space="preserve"> qui </w:t>
      </w:r>
      <w:proofErr w:type="spellStart"/>
      <w:r w:rsidRPr="006F7966">
        <w:t>faisait</w:t>
      </w:r>
      <w:proofErr w:type="spellEnd"/>
      <w:r w:rsidRPr="006F7966">
        <w:t xml:space="preserve"> </w:t>
      </w:r>
      <w:proofErr w:type="spellStart"/>
      <w:r w:rsidRPr="006F7966">
        <w:t>état</w:t>
      </w:r>
      <w:proofErr w:type="spellEnd"/>
      <w:r w:rsidRPr="006F7966">
        <w:t xml:space="preserve"> de </w:t>
      </w:r>
      <w:proofErr w:type="spellStart"/>
      <w:r w:rsidRPr="006F7966">
        <w:t>plusieurs</w:t>
      </w:r>
      <w:proofErr w:type="spellEnd"/>
      <w:r w:rsidRPr="006F7966">
        <w:t xml:space="preserve"> </w:t>
      </w:r>
      <w:proofErr w:type="spellStart"/>
      <w:r w:rsidRPr="006F7966">
        <w:t>éléments</w:t>
      </w:r>
      <w:proofErr w:type="spellEnd"/>
      <w:r w:rsidRPr="006F7966">
        <w:t xml:space="preserve"> </w:t>
      </w:r>
      <w:proofErr w:type="spellStart"/>
      <w:r w:rsidRPr="006F7966">
        <w:t>indiquant</w:t>
      </w:r>
      <w:proofErr w:type="spellEnd"/>
      <w:r w:rsidRPr="006F7966">
        <w:t xml:space="preserve"> que </w:t>
      </w:r>
      <w:proofErr w:type="spellStart"/>
      <w:r w:rsidRPr="006F7966">
        <w:t>l’enfant</w:t>
      </w:r>
      <w:proofErr w:type="spellEnd"/>
      <w:r w:rsidRPr="006F7966">
        <w:t xml:space="preserve"> se </w:t>
      </w:r>
      <w:proofErr w:type="spellStart"/>
      <w:r w:rsidRPr="006F7966">
        <w:t>trouvait</w:t>
      </w:r>
      <w:proofErr w:type="spellEnd"/>
      <w:r w:rsidRPr="006F7966">
        <w:t xml:space="preserve"> dans </w:t>
      </w:r>
      <w:proofErr w:type="spellStart"/>
      <w:r w:rsidRPr="006F7966">
        <w:t>une</w:t>
      </w:r>
      <w:proofErr w:type="spellEnd"/>
      <w:r w:rsidRPr="006F7966">
        <w:t xml:space="preserve"> situation de danger dans </w:t>
      </w:r>
      <w:proofErr w:type="spellStart"/>
      <w:r w:rsidRPr="006F7966">
        <w:t>sa</w:t>
      </w:r>
      <w:proofErr w:type="spellEnd"/>
      <w:r w:rsidRPr="006F7966">
        <w:t xml:space="preserve"> </w:t>
      </w:r>
      <w:proofErr w:type="spellStart"/>
      <w:r w:rsidRPr="006F7966">
        <w:t>famille</w:t>
      </w:r>
      <w:proofErr w:type="spellEnd"/>
      <w:r w:rsidRPr="006F7966">
        <w:t xml:space="preserve"> : un </w:t>
      </w:r>
      <w:proofErr w:type="spellStart"/>
      <w:r w:rsidRPr="006F7966">
        <w:t>discours</w:t>
      </w:r>
      <w:proofErr w:type="spellEnd"/>
      <w:r w:rsidRPr="006F7966">
        <w:t xml:space="preserve"> </w:t>
      </w:r>
      <w:proofErr w:type="spellStart"/>
      <w:r w:rsidRPr="006F7966">
        <w:t>inquiétant</w:t>
      </w:r>
      <w:proofErr w:type="spellEnd"/>
      <w:r w:rsidRPr="006F7966">
        <w:t xml:space="preserve"> et </w:t>
      </w:r>
      <w:proofErr w:type="spellStart"/>
      <w:r w:rsidRPr="006F7966">
        <w:t>opposé</w:t>
      </w:r>
      <w:proofErr w:type="spellEnd"/>
      <w:r w:rsidRPr="006F7966">
        <w:t xml:space="preserve"> des deux parents sur les conditions de vie de </w:t>
      </w:r>
      <w:proofErr w:type="spellStart"/>
      <w:r w:rsidRPr="006F7966">
        <w:t>l’enfant</w:t>
      </w:r>
      <w:proofErr w:type="spellEnd"/>
      <w:r w:rsidRPr="006F7966">
        <w:t xml:space="preserve"> au </w:t>
      </w:r>
      <w:proofErr w:type="spellStart"/>
      <w:r w:rsidRPr="006F7966">
        <w:t>cours</w:t>
      </w:r>
      <w:proofErr w:type="spellEnd"/>
      <w:r w:rsidRPr="006F7966">
        <w:t xml:space="preserve"> de </w:t>
      </w:r>
      <w:proofErr w:type="spellStart"/>
      <w:r w:rsidRPr="006F7966">
        <w:t>ses</w:t>
      </w:r>
      <w:proofErr w:type="spellEnd"/>
      <w:r w:rsidRPr="006F7966">
        <w:t xml:space="preserve"> quatre premiers </w:t>
      </w:r>
      <w:proofErr w:type="spellStart"/>
      <w:r w:rsidRPr="006F7966">
        <w:t>mois</w:t>
      </w:r>
      <w:proofErr w:type="spellEnd"/>
      <w:r w:rsidRPr="006F7966">
        <w:t xml:space="preserve">, un diagnostic </w:t>
      </w:r>
      <w:proofErr w:type="spellStart"/>
      <w:r w:rsidRPr="006F7966">
        <w:t>défavorable</w:t>
      </w:r>
      <w:proofErr w:type="spellEnd"/>
      <w:r w:rsidRPr="006F7966">
        <w:t xml:space="preserve"> sur </w:t>
      </w:r>
      <w:proofErr w:type="spellStart"/>
      <w:r w:rsidRPr="006F7966">
        <w:t>leurs</w:t>
      </w:r>
      <w:proofErr w:type="spellEnd"/>
      <w:r w:rsidRPr="006F7966">
        <w:t xml:space="preserve"> </w:t>
      </w:r>
      <w:proofErr w:type="spellStart"/>
      <w:r w:rsidRPr="006F7966">
        <w:t>capacités</w:t>
      </w:r>
      <w:proofErr w:type="spellEnd"/>
      <w:r w:rsidRPr="006F7966">
        <w:t xml:space="preserve"> </w:t>
      </w:r>
      <w:proofErr w:type="spellStart"/>
      <w:r w:rsidRPr="006F7966">
        <w:t>éducatives</w:t>
      </w:r>
      <w:proofErr w:type="spellEnd"/>
      <w:r w:rsidRPr="006F7966">
        <w:t xml:space="preserve">, des </w:t>
      </w:r>
      <w:proofErr w:type="spellStart"/>
      <w:r w:rsidRPr="006F7966">
        <w:t>témoignages</w:t>
      </w:r>
      <w:proofErr w:type="spellEnd"/>
      <w:r w:rsidRPr="006F7966">
        <w:t xml:space="preserve"> des </w:t>
      </w:r>
      <w:proofErr w:type="spellStart"/>
      <w:r w:rsidRPr="006F7966">
        <w:t>professionnels</w:t>
      </w:r>
      <w:proofErr w:type="spellEnd"/>
      <w:r w:rsidRPr="006F7966">
        <w:t xml:space="preserve"> de la </w:t>
      </w:r>
      <w:proofErr w:type="spellStart"/>
      <w:r w:rsidRPr="006F7966">
        <w:t>maternité</w:t>
      </w:r>
      <w:proofErr w:type="spellEnd"/>
      <w:r w:rsidRPr="006F7966">
        <w:t xml:space="preserve"> </w:t>
      </w:r>
      <w:proofErr w:type="spellStart"/>
      <w:r w:rsidRPr="006F7966">
        <w:t>faisant</w:t>
      </w:r>
      <w:proofErr w:type="spellEnd"/>
      <w:r w:rsidRPr="006F7966">
        <w:t xml:space="preserve"> </w:t>
      </w:r>
      <w:proofErr w:type="spellStart"/>
      <w:r w:rsidRPr="006F7966">
        <w:t>état</w:t>
      </w:r>
      <w:proofErr w:type="spellEnd"/>
      <w:r w:rsidRPr="006F7966">
        <w:t xml:space="preserve"> de la </w:t>
      </w:r>
      <w:proofErr w:type="spellStart"/>
      <w:r w:rsidRPr="006F7966">
        <w:t>vulnérabilité</w:t>
      </w:r>
      <w:proofErr w:type="spellEnd"/>
      <w:r w:rsidRPr="006F7966">
        <w:t xml:space="preserve"> </w:t>
      </w:r>
      <w:proofErr w:type="spellStart"/>
      <w:r w:rsidRPr="006F7966">
        <w:t>psychologique</w:t>
      </w:r>
      <w:proofErr w:type="spellEnd"/>
      <w:r w:rsidRPr="006F7966">
        <w:t xml:space="preserve"> de la </w:t>
      </w:r>
      <w:proofErr w:type="spellStart"/>
      <w:r w:rsidRPr="006F7966">
        <w:t>requérante</w:t>
      </w:r>
      <w:proofErr w:type="spellEnd"/>
      <w:r w:rsidRPr="006F7966">
        <w:t xml:space="preserve">, de son </w:t>
      </w:r>
      <w:proofErr w:type="spellStart"/>
      <w:r w:rsidRPr="006F7966">
        <w:t>isolement</w:t>
      </w:r>
      <w:proofErr w:type="spellEnd"/>
      <w:r w:rsidRPr="006F7966">
        <w:t xml:space="preserve"> et de </w:t>
      </w:r>
      <w:proofErr w:type="spellStart"/>
      <w:r w:rsidRPr="006F7966">
        <w:t>ses</w:t>
      </w:r>
      <w:proofErr w:type="spellEnd"/>
      <w:r w:rsidRPr="006F7966">
        <w:t xml:space="preserve"> </w:t>
      </w:r>
      <w:proofErr w:type="spellStart"/>
      <w:r w:rsidRPr="006F7966">
        <w:t>difficultés</w:t>
      </w:r>
      <w:proofErr w:type="spellEnd"/>
      <w:r w:rsidRPr="006F7966">
        <w:t xml:space="preserve"> à </w:t>
      </w:r>
      <w:proofErr w:type="spellStart"/>
      <w:r w:rsidRPr="006F7966">
        <w:t>saisir</w:t>
      </w:r>
      <w:proofErr w:type="spellEnd"/>
      <w:r w:rsidRPr="006F7966">
        <w:t xml:space="preserve"> </w:t>
      </w:r>
      <w:proofErr w:type="spellStart"/>
      <w:r w:rsidRPr="006F7966">
        <w:t>l’aide</w:t>
      </w:r>
      <w:proofErr w:type="spellEnd"/>
      <w:r w:rsidRPr="006F7966">
        <w:t xml:space="preserve"> qui </w:t>
      </w:r>
      <w:proofErr w:type="spellStart"/>
      <w:r w:rsidRPr="006F7966">
        <w:t>lui</w:t>
      </w:r>
      <w:proofErr w:type="spellEnd"/>
      <w:r w:rsidRPr="006F7966">
        <w:t xml:space="preserve"> </w:t>
      </w:r>
      <w:proofErr w:type="spellStart"/>
      <w:r w:rsidRPr="006F7966">
        <w:t>avait</w:t>
      </w:r>
      <w:proofErr w:type="spellEnd"/>
      <w:r w:rsidRPr="006F7966">
        <w:t xml:space="preserve"> </w:t>
      </w:r>
      <w:proofErr w:type="spellStart"/>
      <w:r w:rsidRPr="006F7966">
        <w:t>été</w:t>
      </w:r>
      <w:proofErr w:type="spellEnd"/>
      <w:r w:rsidRPr="006F7966">
        <w:t xml:space="preserve"> </w:t>
      </w:r>
      <w:proofErr w:type="spellStart"/>
      <w:r w:rsidRPr="006F7966">
        <w:t>proposée</w:t>
      </w:r>
      <w:proofErr w:type="spellEnd"/>
      <w:r w:rsidRPr="006F7966">
        <w:t xml:space="preserve"> (</w:t>
      </w:r>
      <w:proofErr w:type="spellStart"/>
      <w:r w:rsidRPr="006F7966">
        <w:t>paragraphe</w:t>
      </w:r>
      <w:proofErr w:type="spellEnd"/>
      <w:r w:rsidRPr="006F7966">
        <w:t xml:space="preserve"> 11 ci-dessus).</w:t>
      </w:r>
    </w:p>
    <w:p w14:paraId="684349BE"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59</w:t>
      </w:r>
      <w:r>
        <w:rPr>
          <w:noProof/>
        </w:rPr>
        <w:fldChar w:fldCharType="end"/>
      </w:r>
      <w:r w:rsidRPr="006F7966">
        <w:t xml:space="preserve">.  La </w:t>
      </w:r>
      <w:proofErr w:type="spellStart"/>
      <w:r w:rsidRPr="006F7966">
        <w:t>Cour</w:t>
      </w:r>
      <w:proofErr w:type="spellEnd"/>
      <w:r w:rsidRPr="006F7966">
        <w:t xml:space="preserve"> </w:t>
      </w:r>
      <w:proofErr w:type="spellStart"/>
      <w:r w:rsidRPr="006F7966">
        <w:t>relève</w:t>
      </w:r>
      <w:proofErr w:type="spellEnd"/>
      <w:r w:rsidRPr="006F7966">
        <w:t xml:space="preserve"> que les </w:t>
      </w:r>
      <w:proofErr w:type="spellStart"/>
      <w:r w:rsidRPr="006F7966">
        <w:t>juridictions</w:t>
      </w:r>
      <w:proofErr w:type="spellEnd"/>
      <w:r w:rsidRPr="006F7966">
        <w:t xml:space="preserve"> internes </w:t>
      </w:r>
      <w:proofErr w:type="spellStart"/>
      <w:r w:rsidRPr="006F7966">
        <w:t>ont</w:t>
      </w:r>
      <w:proofErr w:type="spellEnd"/>
      <w:r w:rsidRPr="006F7966">
        <w:t xml:space="preserve"> ensuite </w:t>
      </w:r>
      <w:proofErr w:type="spellStart"/>
      <w:r w:rsidRPr="006F7966">
        <w:t>ordonné</w:t>
      </w:r>
      <w:proofErr w:type="spellEnd"/>
      <w:r w:rsidRPr="006F7966">
        <w:t xml:space="preserve"> le </w:t>
      </w:r>
      <w:proofErr w:type="spellStart"/>
      <w:r w:rsidRPr="006F7966">
        <w:t>renouvellement</w:t>
      </w:r>
      <w:proofErr w:type="spellEnd"/>
      <w:r w:rsidRPr="006F7966">
        <w:t xml:space="preserve"> de la </w:t>
      </w:r>
      <w:proofErr w:type="spellStart"/>
      <w:r w:rsidRPr="006F7966">
        <w:t>mesure</w:t>
      </w:r>
      <w:proofErr w:type="spellEnd"/>
      <w:r w:rsidRPr="006F7966">
        <w:t xml:space="preserve"> de placement à deux reprises, pour </w:t>
      </w:r>
      <w:proofErr w:type="spellStart"/>
      <w:r w:rsidRPr="006F7966">
        <w:t>une</w:t>
      </w:r>
      <w:proofErr w:type="spellEnd"/>
      <w:r w:rsidRPr="006F7966">
        <w:t xml:space="preserve"> durée de six </w:t>
      </w:r>
      <w:proofErr w:type="spellStart"/>
      <w:r w:rsidRPr="006F7966">
        <w:t>mois</w:t>
      </w:r>
      <w:proofErr w:type="spellEnd"/>
      <w:r w:rsidRPr="006F7966">
        <w:t xml:space="preserve">, </w:t>
      </w:r>
      <w:proofErr w:type="spellStart"/>
      <w:r w:rsidRPr="006F7966">
        <w:t>compte</w:t>
      </w:r>
      <w:proofErr w:type="spellEnd"/>
      <w:r w:rsidRPr="006F7966">
        <w:t xml:space="preserve"> </w:t>
      </w:r>
      <w:proofErr w:type="spellStart"/>
      <w:r w:rsidRPr="006F7966">
        <w:t>tenu</w:t>
      </w:r>
      <w:proofErr w:type="spellEnd"/>
      <w:r w:rsidRPr="006F7966">
        <w:t xml:space="preserve"> de </w:t>
      </w:r>
      <w:proofErr w:type="spellStart"/>
      <w:r w:rsidRPr="006F7966">
        <w:t>l’âge</w:t>
      </w:r>
      <w:proofErr w:type="spellEnd"/>
      <w:r w:rsidRPr="006F7966">
        <w:t xml:space="preserve"> de </w:t>
      </w:r>
      <w:proofErr w:type="spellStart"/>
      <w:r w:rsidRPr="006F7966">
        <w:t>l’enfant</w:t>
      </w:r>
      <w:proofErr w:type="spellEnd"/>
      <w:r w:rsidRPr="006F7966">
        <w:t xml:space="preserve">, des troubles de </w:t>
      </w:r>
      <w:proofErr w:type="spellStart"/>
      <w:r w:rsidRPr="006F7966">
        <w:t>l’attachement</w:t>
      </w:r>
      <w:proofErr w:type="spellEnd"/>
      <w:r w:rsidRPr="006F7966">
        <w:t xml:space="preserve"> </w:t>
      </w:r>
      <w:proofErr w:type="spellStart"/>
      <w:r w:rsidRPr="006F7966">
        <w:t>manifestés</w:t>
      </w:r>
      <w:proofErr w:type="spellEnd"/>
      <w:r w:rsidRPr="006F7966">
        <w:t xml:space="preserve"> de part et </w:t>
      </w:r>
      <w:proofErr w:type="spellStart"/>
      <w:r w:rsidRPr="006F7966">
        <w:t>d’autre</w:t>
      </w:r>
      <w:proofErr w:type="spellEnd"/>
      <w:r w:rsidRPr="006F7966">
        <w:t xml:space="preserve">, de </w:t>
      </w:r>
      <w:proofErr w:type="spellStart"/>
      <w:r w:rsidRPr="006F7966">
        <w:t>l’absence</w:t>
      </w:r>
      <w:proofErr w:type="spellEnd"/>
      <w:r w:rsidRPr="006F7966">
        <w:t xml:space="preserve"> </w:t>
      </w:r>
      <w:proofErr w:type="spellStart"/>
      <w:r w:rsidRPr="006F7966">
        <w:t>d’évolution</w:t>
      </w:r>
      <w:proofErr w:type="spellEnd"/>
      <w:r w:rsidRPr="006F7966">
        <w:t xml:space="preserve"> des relations parents</w:t>
      </w:r>
      <w:r w:rsidRPr="006F7966">
        <w:noBreakHyphen/>
        <w:t xml:space="preserve">enfant </w:t>
      </w:r>
      <w:proofErr w:type="spellStart"/>
      <w:r w:rsidRPr="006F7966">
        <w:t>ainsi</w:t>
      </w:r>
      <w:proofErr w:type="spellEnd"/>
      <w:r w:rsidRPr="006F7966">
        <w:t xml:space="preserve"> que du </w:t>
      </w:r>
      <w:proofErr w:type="spellStart"/>
      <w:r w:rsidRPr="006F7966">
        <w:t>conflit</w:t>
      </w:r>
      <w:proofErr w:type="spellEnd"/>
      <w:r w:rsidRPr="006F7966">
        <w:t xml:space="preserve"> parental </w:t>
      </w:r>
      <w:proofErr w:type="spellStart"/>
      <w:r w:rsidRPr="006F7966">
        <w:t>persistant</w:t>
      </w:r>
      <w:proofErr w:type="spellEnd"/>
      <w:r w:rsidRPr="006F7966">
        <w:t xml:space="preserve">. Les </w:t>
      </w:r>
      <w:proofErr w:type="spellStart"/>
      <w:r w:rsidRPr="006F7966">
        <w:t>juridictions</w:t>
      </w:r>
      <w:proofErr w:type="spellEnd"/>
      <w:r w:rsidRPr="006F7966">
        <w:t xml:space="preserve"> internes se </w:t>
      </w:r>
      <w:proofErr w:type="spellStart"/>
      <w:r w:rsidRPr="006F7966">
        <w:t>sont</w:t>
      </w:r>
      <w:proofErr w:type="spellEnd"/>
      <w:r w:rsidRPr="006F7966">
        <w:t xml:space="preserve"> </w:t>
      </w:r>
      <w:proofErr w:type="spellStart"/>
      <w:r w:rsidRPr="006F7966">
        <w:t>fondées</w:t>
      </w:r>
      <w:proofErr w:type="spellEnd"/>
      <w:r w:rsidRPr="006F7966">
        <w:t xml:space="preserve"> sur les </w:t>
      </w:r>
      <w:proofErr w:type="spellStart"/>
      <w:r w:rsidRPr="006F7966">
        <w:t>grandes</w:t>
      </w:r>
      <w:proofErr w:type="spellEnd"/>
      <w:r w:rsidRPr="006F7966">
        <w:t xml:space="preserve"> </w:t>
      </w:r>
      <w:proofErr w:type="spellStart"/>
      <w:r w:rsidRPr="006F7966">
        <w:t>difficultés</w:t>
      </w:r>
      <w:proofErr w:type="spellEnd"/>
      <w:r w:rsidRPr="006F7966">
        <w:t xml:space="preserve"> </w:t>
      </w:r>
      <w:proofErr w:type="spellStart"/>
      <w:r w:rsidRPr="006F7966">
        <w:t>rencontrées</w:t>
      </w:r>
      <w:proofErr w:type="spellEnd"/>
      <w:r w:rsidRPr="006F7966">
        <w:t xml:space="preserve"> par </w:t>
      </w:r>
      <w:proofErr w:type="spellStart"/>
      <w:r w:rsidRPr="006F7966">
        <w:t>l’enfant</w:t>
      </w:r>
      <w:proofErr w:type="spellEnd"/>
      <w:r w:rsidRPr="006F7966">
        <w:t xml:space="preserve"> pour </w:t>
      </w:r>
      <w:proofErr w:type="spellStart"/>
      <w:r w:rsidRPr="006F7966">
        <w:t>tisser</w:t>
      </w:r>
      <w:proofErr w:type="spellEnd"/>
      <w:r w:rsidRPr="006F7966">
        <w:t xml:space="preserve"> des liens </w:t>
      </w:r>
      <w:proofErr w:type="spellStart"/>
      <w:r w:rsidRPr="006F7966">
        <w:t>affectifs</w:t>
      </w:r>
      <w:proofErr w:type="spellEnd"/>
      <w:r w:rsidRPr="006F7966">
        <w:t xml:space="preserve"> avec </w:t>
      </w:r>
      <w:proofErr w:type="spellStart"/>
      <w:r w:rsidRPr="006F7966">
        <w:t>ses</w:t>
      </w:r>
      <w:proofErr w:type="spellEnd"/>
      <w:r w:rsidRPr="006F7966">
        <w:t xml:space="preserve"> parents et sur la </w:t>
      </w:r>
      <w:proofErr w:type="spellStart"/>
      <w:r w:rsidRPr="006F7966">
        <w:t>persistance</w:t>
      </w:r>
      <w:proofErr w:type="spellEnd"/>
      <w:r w:rsidRPr="006F7966">
        <w:t xml:space="preserve"> de son sentiment </w:t>
      </w:r>
      <w:proofErr w:type="spellStart"/>
      <w:r w:rsidRPr="006F7966">
        <w:t>d’insécurité</w:t>
      </w:r>
      <w:proofErr w:type="spellEnd"/>
      <w:r w:rsidRPr="006F7966">
        <w:t xml:space="preserve"> face à </w:t>
      </w:r>
      <w:proofErr w:type="spellStart"/>
      <w:r w:rsidRPr="006F7966">
        <w:t>sa</w:t>
      </w:r>
      <w:proofErr w:type="spellEnd"/>
      <w:r w:rsidRPr="006F7966">
        <w:t xml:space="preserve"> </w:t>
      </w:r>
      <w:proofErr w:type="spellStart"/>
      <w:r w:rsidRPr="006F7966">
        <w:t>mère</w:t>
      </w:r>
      <w:proofErr w:type="spellEnd"/>
      <w:r w:rsidRPr="006F7966">
        <w:t xml:space="preserve">. </w:t>
      </w:r>
      <w:proofErr w:type="spellStart"/>
      <w:r w:rsidRPr="006F7966">
        <w:t>Elles</w:t>
      </w:r>
      <w:proofErr w:type="spellEnd"/>
      <w:r w:rsidRPr="006F7966">
        <w:t xml:space="preserve"> se </w:t>
      </w:r>
      <w:proofErr w:type="spellStart"/>
      <w:r w:rsidRPr="006F7966">
        <w:t>sont</w:t>
      </w:r>
      <w:proofErr w:type="spellEnd"/>
      <w:r w:rsidRPr="006F7966">
        <w:t xml:space="preserve"> </w:t>
      </w:r>
      <w:proofErr w:type="spellStart"/>
      <w:r w:rsidRPr="006F7966">
        <w:t>appuyées</w:t>
      </w:r>
      <w:proofErr w:type="spellEnd"/>
      <w:r w:rsidRPr="006F7966">
        <w:t xml:space="preserve">, pour </w:t>
      </w:r>
      <w:proofErr w:type="spellStart"/>
      <w:r w:rsidRPr="006F7966">
        <w:t>ce</w:t>
      </w:r>
      <w:proofErr w:type="spellEnd"/>
      <w:r w:rsidRPr="006F7966">
        <w:t xml:space="preserve"> faire, sur les </w:t>
      </w:r>
      <w:proofErr w:type="spellStart"/>
      <w:r w:rsidRPr="006F7966">
        <w:t>constats</w:t>
      </w:r>
      <w:proofErr w:type="spellEnd"/>
      <w:r w:rsidRPr="006F7966">
        <w:t xml:space="preserve"> </w:t>
      </w:r>
      <w:proofErr w:type="spellStart"/>
      <w:r w:rsidRPr="006F7966">
        <w:t>croisés</w:t>
      </w:r>
      <w:proofErr w:type="spellEnd"/>
      <w:r w:rsidRPr="006F7966">
        <w:t xml:space="preserve"> de </w:t>
      </w:r>
      <w:proofErr w:type="spellStart"/>
      <w:r w:rsidRPr="006F7966">
        <w:t>l’ensemble</w:t>
      </w:r>
      <w:proofErr w:type="spellEnd"/>
      <w:r w:rsidRPr="006F7966">
        <w:t xml:space="preserve"> des </w:t>
      </w:r>
      <w:proofErr w:type="spellStart"/>
      <w:r w:rsidRPr="006F7966">
        <w:t>acteurs</w:t>
      </w:r>
      <w:proofErr w:type="spellEnd"/>
      <w:r w:rsidRPr="006F7966">
        <w:t xml:space="preserve"> de la protection de </w:t>
      </w:r>
      <w:proofErr w:type="spellStart"/>
      <w:r w:rsidRPr="006F7966">
        <w:t>l’enfance</w:t>
      </w:r>
      <w:proofErr w:type="spellEnd"/>
      <w:r w:rsidRPr="006F7966">
        <w:t xml:space="preserve">, les </w:t>
      </w:r>
      <w:proofErr w:type="spellStart"/>
      <w:r w:rsidRPr="006F7966">
        <w:t>professionnels</w:t>
      </w:r>
      <w:proofErr w:type="spellEnd"/>
      <w:r w:rsidRPr="006F7966">
        <w:t xml:space="preserve"> de </w:t>
      </w:r>
      <w:proofErr w:type="spellStart"/>
      <w:r w:rsidRPr="006F7966">
        <w:t>l’ASE</w:t>
      </w:r>
      <w:proofErr w:type="spellEnd"/>
      <w:r w:rsidRPr="006F7966">
        <w:t xml:space="preserve"> et </w:t>
      </w:r>
      <w:proofErr w:type="spellStart"/>
      <w:r w:rsidRPr="006F7966">
        <w:t>l’association</w:t>
      </w:r>
      <w:proofErr w:type="spellEnd"/>
      <w:r w:rsidRPr="006F7966">
        <w:t xml:space="preserve"> O.S. </w:t>
      </w:r>
      <w:proofErr w:type="spellStart"/>
      <w:r w:rsidRPr="006F7966">
        <w:t>en</w:t>
      </w:r>
      <w:proofErr w:type="spellEnd"/>
      <w:r w:rsidRPr="006F7966">
        <w:t xml:space="preserve"> charge de la MJIE, et </w:t>
      </w:r>
      <w:proofErr w:type="spellStart"/>
      <w:r w:rsidRPr="006F7966">
        <w:t>ceux</w:t>
      </w:r>
      <w:proofErr w:type="spellEnd"/>
      <w:r w:rsidRPr="006F7966">
        <w:t xml:space="preserve"> </w:t>
      </w:r>
      <w:proofErr w:type="spellStart"/>
      <w:r w:rsidRPr="006F7966">
        <w:t>issus</w:t>
      </w:r>
      <w:proofErr w:type="spellEnd"/>
      <w:r w:rsidRPr="006F7966">
        <w:t xml:space="preserve"> de structures de </w:t>
      </w:r>
      <w:proofErr w:type="spellStart"/>
      <w:r w:rsidRPr="006F7966">
        <w:t>soins</w:t>
      </w:r>
      <w:proofErr w:type="spellEnd"/>
      <w:r w:rsidRPr="006F7966">
        <w:t xml:space="preserve"> </w:t>
      </w:r>
      <w:proofErr w:type="spellStart"/>
      <w:r w:rsidRPr="006F7966">
        <w:t>indépendantes</w:t>
      </w:r>
      <w:proofErr w:type="spellEnd"/>
      <w:r w:rsidRPr="006F7966">
        <w:t xml:space="preserve"> </w:t>
      </w:r>
      <w:proofErr w:type="spellStart"/>
      <w:r w:rsidRPr="006F7966">
        <w:t>comme</w:t>
      </w:r>
      <w:proofErr w:type="spellEnd"/>
      <w:r w:rsidRPr="006F7966">
        <w:t xml:space="preserve"> le CMP de </w:t>
      </w:r>
      <w:proofErr w:type="spellStart"/>
      <w:r w:rsidRPr="006F7966">
        <w:t>l’Aubier</w:t>
      </w:r>
      <w:proofErr w:type="spellEnd"/>
      <w:r w:rsidRPr="006F7966">
        <w:t xml:space="preserve"> </w:t>
      </w:r>
      <w:proofErr w:type="spellStart"/>
      <w:r w:rsidRPr="006F7966">
        <w:t>ou</w:t>
      </w:r>
      <w:proofErr w:type="spellEnd"/>
      <w:r w:rsidRPr="006F7966">
        <w:t xml:space="preserve"> </w:t>
      </w:r>
      <w:proofErr w:type="spellStart"/>
      <w:r w:rsidRPr="006F7966">
        <w:t>l’unité</w:t>
      </w:r>
      <w:proofErr w:type="spellEnd"/>
      <w:r w:rsidRPr="006F7966">
        <w:t xml:space="preserve"> PPUMMA qui </w:t>
      </w:r>
      <w:proofErr w:type="spellStart"/>
      <w:r w:rsidRPr="006F7966">
        <w:t>ont</w:t>
      </w:r>
      <w:proofErr w:type="spellEnd"/>
      <w:r w:rsidRPr="006F7966">
        <w:t xml:space="preserve"> </w:t>
      </w:r>
      <w:proofErr w:type="spellStart"/>
      <w:r w:rsidRPr="006F7966">
        <w:t>accompagné</w:t>
      </w:r>
      <w:proofErr w:type="spellEnd"/>
      <w:r w:rsidRPr="006F7966">
        <w:t xml:space="preserve"> la </w:t>
      </w:r>
      <w:proofErr w:type="spellStart"/>
      <w:r w:rsidRPr="006F7966">
        <w:t>requérante</w:t>
      </w:r>
      <w:proofErr w:type="spellEnd"/>
      <w:r w:rsidRPr="006F7966">
        <w:t xml:space="preserve"> dans un </w:t>
      </w:r>
      <w:proofErr w:type="spellStart"/>
      <w:r w:rsidRPr="006F7966">
        <w:t>contexte</w:t>
      </w:r>
      <w:proofErr w:type="spellEnd"/>
      <w:r w:rsidRPr="006F7966">
        <w:t xml:space="preserve"> difficile et </w:t>
      </w:r>
      <w:proofErr w:type="spellStart"/>
      <w:r w:rsidRPr="006F7966">
        <w:t>permis</w:t>
      </w:r>
      <w:proofErr w:type="spellEnd"/>
      <w:r w:rsidRPr="006F7966">
        <w:t xml:space="preserve"> </w:t>
      </w:r>
      <w:proofErr w:type="spellStart"/>
      <w:r w:rsidRPr="006F7966">
        <w:t>une</w:t>
      </w:r>
      <w:proofErr w:type="spellEnd"/>
      <w:r w:rsidRPr="006F7966">
        <w:t xml:space="preserve"> </w:t>
      </w:r>
      <w:proofErr w:type="spellStart"/>
      <w:r w:rsidRPr="006F7966">
        <w:t>appréciation</w:t>
      </w:r>
      <w:proofErr w:type="spellEnd"/>
      <w:r w:rsidRPr="006F7966">
        <w:t xml:space="preserve"> </w:t>
      </w:r>
      <w:proofErr w:type="spellStart"/>
      <w:r w:rsidRPr="006F7966">
        <w:t>factuelle</w:t>
      </w:r>
      <w:proofErr w:type="spellEnd"/>
      <w:r w:rsidRPr="006F7966">
        <w:t xml:space="preserve"> tant de </w:t>
      </w:r>
      <w:proofErr w:type="spellStart"/>
      <w:r w:rsidRPr="006F7966">
        <w:t>l’évolution</w:t>
      </w:r>
      <w:proofErr w:type="spellEnd"/>
      <w:r w:rsidRPr="006F7966">
        <w:t xml:space="preserve"> de </w:t>
      </w:r>
      <w:proofErr w:type="spellStart"/>
      <w:r w:rsidRPr="006F7966">
        <w:t>sa</w:t>
      </w:r>
      <w:proofErr w:type="spellEnd"/>
      <w:r w:rsidRPr="006F7966">
        <w:t xml:space="preserve"> situation que de </w:t>
      </w:r>
      <w:proofErr w:type="spellStart"/>
      <w:r w:rsidRPr="006F7966">
        <w:t>ses</w:t>
      </w:r>
      <w:proofErr w:type="spellEnd"/>
      <w:r w:rsidRPr="006F7966">
        <w:t xml:space="preserve"> aptitudes </w:t>
      </w:r>
      <w:proofErr w:type="spellStart"/>
      <w:r w:rsidRPr="006F7966">
        <w:t>parentales</w:t>
      </w:r>
      <w:proofErr w:type="spellEnd"/>
      <w:r w:rsidRPr="006F7966">
        <w:t xml:space="preserve"> (</w:t>
      </w:r>
      <w:proofErr w:type="spellStart"/>
      <w:r w:rsidRPr="006F7966">
        <w:t>paragraphes</w:t>
      </w:r>
      <w:proofErr w:type="spellEnd"/>
      <w:r w:rsidRPr="006F7966">
        <w:t xml:space="preserve"> 16, 26 à 29 ci-dessus).</w:t>
      </w:r>
    </w:p>
    <w:p w14:paraId="7870F408"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60</w:t>
      </w:r>
      <w:r>
        <w:rPr>
          <w:noProof/>
        </w:rPr>
        <w:fldChar w:fldCharType="end"/>
      </w:r>
      <w:r w:rsidRPr="006F7966">
        <w:t xml:space="preserve">.  Au vu de </w:t>
      </w:r>
      <w:proofErr w:type="spellStart"/>
      <w:r w:rsidRPr="006F7966">
        <w:t>ce</w:t>
      </w:r>
      <w:proofErr w:type="spellEnd"/>
      <w:r w:rsidRPr="006F7966">
        <w:t xml:space="preserve"> qui </w:t>
      </w:r>
      <w:proofErr w:type="spellStart"/>
      <w:r w:rsidRPr="006F7966">
        <w:t>précède</w:t>
      </w:r>
      <w:proofErr w:type="spellEnd"/>
      <w:r w:rsidRPr="006F7966">
        <w:t xml:space="preserve">, la </w:t>
      </w:r>
      <w:proofErr w:type="spellStart"/>
      <w:r w:rsidRPr="006F7966">
        <w:t>Cour</w:t>
      </w:r>
      <w:proofErr w:type="spellEnd"/>
      <w:r w:rsidRPr="006F7966">
        <w:t xml:space="preserve"> </w:t>
      </w:r>
      <w:proofErr w:type="spellStart"/>
      <w:r w:rsidRPr="006F7966">
        <w:t>considère</w:t>
      </w:r>
      <w:proofErr w:type="spellEnd"/>
      <w:r w:rsidRPr="006F7966">
        <w:t xml:space="preserve"> que les </w:t>
      </w:r>
      <w:proofErr w:type="spellStart"/>
      <w:r w:rsidRPr="006F7966">
        <w:t>juridictions</w:t>
      </w:r>
      <w:proofErr w:type="spellEnd"/>
      <w:r w:rsidRPr="006F7966">
        <w:t xml:space="preserve"> internes se </w:t>
      </w:r>
      <w:proofErr w:type="spellStart"/>
      <w:r w:rsidRPr="006F7966">
        <w:t>sont</w:t>
      </w:r>
      <w:proofErr w:type="spellEnd"/>
      <w:r w:rsidRPr="006F7966">
        <w:t xml:space="preserve"> </w:t>
      </w:r>
      <w:proofErr w:type="spellStart"/>
      <w:r w:rsidRPr="006F7966">
        <w:t>livrées</w:t>
      </w:r>
      <w:proofErr w:type="spellEnd"/>
      <w:r w:rsidRPr="006F7966">
        <w:t xml:space="preserve"> à un </w:t>
      </w:r>
      <w:proofErr w:type="spellStart"/>
      <w:r w:rsidRPr="006F7966">
        <w:t>véritable</w:t>
      </w:r>
      <w:proofErr w:type="spellEnd"/>
      <w:r w:rsidRPr="006F7966">
        <w:t xml:space="preserve"> </w:t>
      </w:r>
      <w:proofErr w:type="spellStart"/>
      <w:r w:rsidRPr="006F7966">
        <w:t>exercice</w:t>
      </w:r>
      <w:proofErr w:type="spellEnd"/>
      <w:r w:rsidRPr="006F7966">
        <w:t xml:space="preserve"> de mise </w:t>
      </w:r>
      <w:proofErr w:type="spellStart"/>
      <w:r w:rsidRPr="006F7966">
        <w:t>en</w:t>
      </w:r>
      <w:proofErr w:type="spellEnd"/>
      <w:r w:rsidRPr="006F7966">
        <w:t xml:space="preserve"> balance entre les </w:t>
      </w:r>
      <w:proofErr w:type="spellStart"/>
      <w:r w:rsidRPr="006F7966">
        <w:t>intérêts</w:t>
      </w:r>
      <w:proofErr w:type="spellEnd"/>
      <w:r w:rsidRPr="006F7966">
        <w:t xml:space="preserve"> de </w:t>
      </w:r>
      <w:proofErr w:type="spellStart"/>
      <w:r w:rsidRPr="006F7966">
        <w:t>l’enfant</w:t>
      </w:r>
      <w:proofErr w:type="spellEnd"/>
      <w:r w:rsidRPr="006F7966">
        <w:t xml:space="preserve"> et </w:t>
      </w:r>
      <w:proofErr w:type="spellStart"/>
      <w:r w:rsidRPr="006F7966">
        <w:t>celui</w:t>
      </w:r>
      <w:proofErr w:type="spellEnd"/>
      <w:r w:rsidRPr="006F7966">
        <w:t xml:space="preserve"> de la </w:t>
      </w:r>
      <w:proofErr w:type="spellStart"/>
      <w:r w:rsidRPr="006F7966">
        <w:t>requérante</w:t>
      </w:r>
      <w:proofErr w:type="spellEnd"/>
      <w:r w:rsidRPr="006F7966">
        <w:t xml:space="preserve">, </w:t>
      </w:r>
      <w:proofErr w:type="spellStart"/>
      <w:r w:rsidRPr="006F7966">
        <w:t>en</w:t>
      </w:r>
      <w:proofErr w:type="spellEnd"/>
      <w:r w:rsidRPr="006F7966">
        <w:t xml:space="preserve"> </w:t>
      </w:r>
      <w:proofErr w:type="spellStart"/>
      <w:r w:rsidRPr="006F7966">
        <w:t>s’appuyant</w:t>
      </w:r>
      <w:proofErr w:type="spellEnd"/>
      <w:r w:rsidRPr="006F7966">
        <w:t xml:space="preserve"> sur les rapports de </w:t>
      </w:r>
      <w:proofErr w:type="spellStart"/>
      <w:r w:rsidRPr="006F7966">
        <w:t>l’ASE</w:t>
      </w:r>
      <w:proofErr w:type="spellEnd"/>
      <w:r w:rsidRPr="006F7966">
        <w:t xml:space="preserve"> </w:t>
      </w:r>
      <w:proofErr w:type="spellStart"/>
      <w:r w:rsidRPr="006F7966">
        <w:t>s’agissant</w:t>
      </w:r>
      <w:proofErr w:type="spellEnd"/>
      <w:r w:rsidRPr="006F7966">
        <w:t xml:space="preserve"> de la mise </w:t>
      </w:r>
      <w:proofErr w:type="spellStart"/>
      <w:r w:rsidRPr="006F7966">
        <w:t>en</w:t>
      </w:r>
      <w:proofErr w:type="spellEnd"/>
      <w:r w:rsidRPr="006F7966">
        <w:t xml:space="preserve"> </w:t>
      </w:r>
      <w:proofErr w:type="spellStart"/>
      <w:r w:rsidRPr="006F7966">
        <w:t>œuvre</w:t>
      </w:r>
      <w:proofErr w:type="spellEnd"/>
      <w:r w:rsidRPr="006F7966">
        <w:t xml:space="preserve"> de la </w:t>
      </w:r>
      <w:proofErr w:type="spellStart"/>
      <w:r w:rsidRPr="006F7966">
        <w:t>mesure</w:t>
      </w:r>
      <w:proofErr w:type="spellEnd"/>
      <w:r w:rsidRPr="006F7966">
        <w:t xml:space="preserve"> de placement, y </w:t>
      </w:r>
      <w:proofErr w:type="spellStart"/>
      <w:r w:rsidRPr="006F7966">
        <w:t>compris</w:t>
      </w:r>
      <w:proofErr w:type="spellEnd"/>
      <w:r w:rsidRPr="006F7966">
        <w:t xml:space="preserve"> du point de </w:t>
      </w:r>
      <w:proofErr w:type="spellStart"/>
      <w:r w:rsidRPr="006F7966">
        <w:t>vue</w:t>
      </w:r>
      <w:proofErr w:type="spellEnd"/>
      <w:r w:rsidRPr="006F7966">
        <w:t xml:space="preserve"> des </w:t>
      </w:r>
      <w:proofErr w:type="spellStart"/>
      <w:r w:rsidRPr="006F7966">
        <w:t>éducatrices</w:t>
      </w:r>
      <w:proofErr w:type="spellEnd"/>
      <w:r w:rsidRPr="006F7966">
        <w:t xml:space="preserve"> et des </w:t>
      </w:r>
      <w:proofErr w:type="spellStart"/>
      <w:r w:rsidRPr="006F7966">
        <w:t>psychologues</w:t>
      </w:r>
      <w:proofErr w:type="spellEnd"/>
      <w:r w:rsidRPr="006F7966">
        <w:t xml:space="preserve"> de </w:t>
      </w:r>
      <w:proofErr w:type="spellStart"/>
      <w:r w:rsidRPr="006F7966">
        <w:t>ce</w:t>
      </w:r>
      <w:proofErr w:type="spellEnd"/>
      <w:r w:rsidRPr="006F7966">
        <w:t xml:space="preserve"> service, et sur </w:t>
      </w:r>
      <w:proofErr w:type="spellStart"/>
      <w:r w:rsidRPr="006F7966">
        <w:t>celui</w:t>
      </w:r>
      <w:proofErr w:type="spellEnd"/>
      <w:r w:rsidRPr="006F7966">
        <w:t xml:space="preserve"> de la MIJE </w:t>
      </w:r>
      <w:proofErr w:type="spellStart"/>
      <w:r w:rsidRPr="006F7966">
        <w:t>destiné</w:t>
      </w:r>
      <w:proofErr w:type="spellEnd"/>
      <w:r w:rsidRPr="006F7966">
        <w:t xml:space="preserve"> à les </w:t>
      </w:r>
      <w:proofErr w:type="spellStart"/>
      <w:r w:rsidRPr="006F7966">
        <w:t>éclairer</w:t>
      </w:r>
      <w:proofErr w:type="spellEnd"/>
      <w:r w:rsidRPr="006F7966">
        <w:t xml:space="preserve"> sur la </w:t>
      </w:r>
      <w:proofErr w:type="spellStart"/>
      <w:r w:rsidRPr="006F7966">
        <w:t>réalité</w:t>
      </w:r>
      <w:proofErr w:type="spellEnd"/>
      <w:r w:rsidRPr="006F7966">
        <w:t xml:space="preserve"> de la situation </w:t>
      </w:r>
      <w:proofErr w:type="spellStart"/>
      <w:r w:rsidRPr="006F7966">
        <w:t>familiale</w:t>
      </w:r>
      <w:proofErr w:type="spellEnd"/>
      <w:r w:rsidRPr="006F7966">
        <w:t xml:space="preserve">. Dans </w:t>
      </w:r>
      <w:proofErr w:type="spellStart"/>
      <w:r w:rsidRPr="006F7966">
        <w:t>ce</w:t>
      </w:r>
      <w:proofErr w:type="spellEnd"/>
      <w:r w:rsidRPr="006F7966">
        <w:t xml:space="preserve"> cadre, </w:t>
      </w:r>
      <w:proofErr w:type="spellStart"/>
      <w:r w:rsidRPr="006F7966">
        <w:t>elles</w:t>
      </w:r>
      <w:proofErr w:type="spellEnd"/>
      <w:r w:rsidRPr="006F7966">
        <w:t xml:space="preserve"> </w:t>
      </w:r>
      <w:proofErr w:type="spellStart"/>
      <w:r w:rsidRPr="006F7966">
        <w:t>ont</w:t>
      </w:r>
      <w:proofErr w:type="spellEnd"/>
      <w:r w:rsidRPr="006F7966">
        <w:t xml:space="preserve"> pris </w:t>
      </w:r>
      <w:proofErr w:type="spellStart"/>
      <w:r w:rsidRPr="006F7966">
        <w:t>en</w:t>
      </w:r>
      <w:proofErr w:type="spellEnd"/>
      <w:r w:rsidRPr="006F7966">
        <w:t xml:space="preserve"> </w:t>
      </w:r>
      <w:proofErr w:type="spellStart"/>
      <w:r w:rsidRPr="006F7966">
        <w:t>compte</w:t>
      </w:r>
      <w:proofErr w:type="spellEnd"/>
      <w:r w:rsidRPr="006F7966">
        <w:t xml:space="preserve"> la </w:t>
      </w:r>
      <w:proofErr w:type="spellStart"/>
      <w:r w:rsidRPr="006F7966">
        <w:t>possibilité</w:t>
      </w:r>
      <w:proofErr w:type="spellEnd"/>
      <w:r w:rsidRPr="006F7966">
        <w:t xml:space="preserve"> de </w:t>
      </w:r>
      <w:proofErr w:type="spellStart"/>
      <w:r w:rsidRPr="006F7966">
        <w:t>prononcer</w:t>
      </w:r>
      <w:proofErr w:type="spellEnd"/>
      <w:r w:rsidRPr="006F7966">
        <w:t xml:space="preserve"> des </w:t>
      </w:r>
      <w:proofErr w:type="spellStart"/>
      <w:r w:rsidRPr="006F7966">
        <w:t>mesures</w:t>
      </w:r>
      <w:proofErr w:type="spellEnd"/>
      <w:r w:rsidRPr="006F7966">
        <w:t xml:space="preserve"> alternatives au placement de </w:t>
      </w:r>
      <w:proofErr w:type="spellStart"/>
      <w:r w:rsidRPr="006F7966">
        <w:t>l’enfant</w:t>
      </w:r>
      <w:proofErr w:type="spellEnd"/>
      <w:r w:rsidRPr="006F7966">
        <w:t xml:space="preserve"> au sein de </w:t>
      </w:r>
      <w:proofErr w:type="spellStart"/>
      <w:r w:rsidRPr="006F7966">
        <w:t>l’ASE</w:t>
      </w:r>
      <w:proofErr w:type="spellEnd"/>
      <w:r w:rsidRPr="006F7966">
        <w:t xml:space="preserve">, </w:t>
      </w:r>
      <w:proofErr w:type="spellStart"/>
      <w:r w:rsidRPr="006F7966">
        <w:t>en</w:t>
      </w:r>
      <w:proofErr w:type="spellEnd"/>
      <w:r w:rsidRPr="006F7966">
        <w:t xml:space="preserve"> </w:t>
      </w:r>
      <w:proofErr w:type="spellStart"/>
      <w:r w:rsidRPr="006F7966">
        <w:t>envisageant</w:t>
      </w:r>
      <w:proofErr w:type="spellEnd"/>
      <w:r w:rsidRPr="006F7966">
        <w:t xml:space="preserve"> à </w:t>
      </w:r>
      <w:proofErr w:type="spellStart"/>
      <w:r w:rsidRPr="006F7966">
        <w:t>plusieurs</w:t>
      </w:r>
      <w:proofErr w:type="spellEnd"/>
      <w:r w:rsidRPr="006F7966">
        <w:t xml:space="preserve"> reprises de le </w:t>
      </w:r>
      <w:proofErr w:type="spellStart"/>
      <w:r w:rsidRPr="006F7966">
        <w:t>confier</w:t>
      </w:r>
      <w:proofErr w:type="spellEnd"/>
      <w:r w:rsidRPr="006F7966">
        <w:t xml:space="preserve"> à </w:t>
      </w:r>
      <w:proofErr w:type="spellStart"/>
      <w:r w:rsidRPr="006F7966">
        <w:t>ses</w:t>
      </w:r>
      <w:proofErr w:type="spellEnd"/>
      <w:r w:rsidRPr="006F7966">
        <w:t xml:space="preserve"> grands-parents, </w:t>
      </w:r>
      <w:proofErr w:type="spellStart"/>
      <w:r w:rsidRPr="006F7966">
        <w:t>avant</w:t>
      </w:r>
      <w:proofErr w:type="spellEnd"/>
      <w:r w:rsidRPr="006F7966">
        <w:t xml:space="preserve"> </w:t>
      </w:r>
      <w:proofErr w:type="spellStart"/>
      <w:r w:rsidRPr="006F7966">
        <w:t>d’y</w:t>
      </w:r>
      <w:proofErr w:type="spellEnd"/>
      <w:r w:rsidRPr="006F7966">
        <w:t xml:space="preserve"> </w:t>
      </w:r>
      <w:proofErr w:type="spellStart"/>
      <w:r w:rsidRPr="006F7966">
        <w:t>renoncer</w:t>
      </w:r>
      <w:proofErr w:type="spellEnd"/>
      <w:r w:rsidRPr="006F7966">
        <w:t xml:space="preserve"> </w:t>
      </w:r>
      <w:proofErr w:type="spellStart"/>
      <w:r w:rsidRPr="006F7966">
        <w:t>en</w:t>
      </w:r>
      <w:proofErr w:type="spellEnd"/>
      <w:r w:rsidRPr="006F7966">
        <w:t xml:space="preserve"> raison de la tension </w:t>
      </w:r>
      <w:proofErr w:type="spellStart"/>
      <w:r w:rsidRPr="006F7966">
        <w:t>qu’un</w:t>
      </w:r>
      <w:proofErr w:type="spellEnd"/>
      <w:r w:rsidRPr="006F7966">
        <w:t xml:space="preserve"> </w:t>
      </w:r>
      <w:proofErr w:type="spellStart"/>
      <w:r w:rsidRPr="006F7966">
        <w:t>tel</w:t>
      </w:r>
      <w:proofErr w:type="spellEnd"/>
      <w:r w:rsidRPr="006F7966">
        <w:t xml:space="preserve"> placement </w:t>
      </w:r>
      <w:proofErr w:type="spellStart"/>
      <w:r w:rsidRPr="006F7966">
        <w:t>créerait</w:t>
      </w:r>
      <w:proofErr w:type="spellEnd"/>
      <w:r w:rsidRPr="006F7966">
        <w:t xml:space="preserve"> entre les parents au </w:t>
      </w:r>
      <w:proofErr w:type="spellStart"/>
      <w:r w:rsidRPr="006F7966">
        <w:t>détriment</w:t>
      </w:r>
      <w:proofErr w:type="spellEnd"/>
      <w:r w:rsidRPr="006F7966">
        <w:t xml:space="preserve"> de </w:t>
      </w:r>
      <w:proofErr w:type="spellStart"/>
      <w:r w:rsidRPr="006F7966">
        <w:t>l’enfant</w:t>
      </w:r>
      <w:proofErr w:type="spellEnd"/>
      <w:r w:rsidRPr="006F7966">
        <w:t xml:space="preserve"> (</w:t>
      </w:r>
      <w:proofErr w:type="spellStart"/>
      <w:r w:rsidRPr="006F7966">
        <w:t>paragraphes</w:t>
      </w:r>
      <w:proofErr w:type="spellEnd"/>
      <w:r w:rsidRPr="006F7966">
        <w:t xml:space="preserve"> 26 et 27 ci-dessus).</w:t>
      </w:r>
    </w:p>
    <w:p w14:paraId="204EDA55"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61</w:t>
      </w:r>
      <w:r>
        <w:rPr>
          <w:noProof/>
        </w:rPr>
        <w:fldChar w:fldCharType="end"/>
      </w:r>
      <w:r w:rsidRPr="006F7966">
        <w:t xml:space="preserve">.  Après </w:t>
      </w:r>
      <w:proofErr w:type="spellStart"/>
      <w:r w:rsidRPr="006F7966">
        <w:t>avoir</w:t>
      </w:r>
      <w:proofErr w:type="spellEnd"/>
      <w:r w:rsidRPr="006F7966">
        <w:t xml:space="preserve"> </w:t>
      </w:r>
      <w:proofErr w:type="spellStart"/>
      <w:r w:rsidRPr="006F7966">
        <w:t>examiné</w:t>
      </w:r>
      <w:proofErr w:type="spellEnd"/>
      <w:r w:rsidRPr="006F7966">
        <w:t xml:space="preserve"> les </w:t>
      </w:r>
      <w:proofErr w:type="spellStart"/>
      <w:r w:rsidRPr="006F7966">
        <w:t>décisions</w:t>
      </w:r>
      <w:proofErr w:type="spellEnd"/>
      <w:r w:rsidRPr="006F7966">
        <w:t xml:space="preserve"> des </w:t>
      </w:r>
      <w:proofErr w:type="spellStart"/>
      <w:r w:rsidRPr="006F7966">
        <w:t>juridictions</w:t>
      </w:r>
      <w:proofErr w:type="spellEnd"/>
      <w:r w:rsidRPr="006F7966">
        <w:t xml:space="preserve"> internes dans </w:t>
      </w:r>
      <w:proofErr w:type="spellStart"/>
      <w:r w:rsidRPr="006F7966">
        <w:t>leur</w:t>
      </w:r>
      <w:proofErr w:type="spellEnd"/>
      <w:r w:rsidRPr="006F7966">
        <w:t xml:space="preserve"> ensemble (</w:t>
      </w:r>
      <w:proofErr w:type="spellStart"/>
      <w:r w:rsidRPr="006F7966">
        <w:t>paragraphes</w:t>
      </w:r>
      <w:proofErr w:type="spellEnd"/>
      <w:r w:rsidRPr="006F7966">
        <w:t xml:space="preserve"> 12, 16, 19, 26, 27 et 28 ci-dessus), la </w:t>
      </w:r>
      <w:proofErr w:type="spellStart"/>
      <w:r w:rsidRPr="006F7966">
        <w:t>Cour</w:t>
      </w:r>
      <w:proofErr w:type="spellEnd"/>
      <w:r w:rsidRPr="006F7966">
        <w:t xml:space="preserve"> </w:t>
      </w:r>
      <w:proofErr w:type="spellStart"/>
      <w:r w:rsidRPr="006F7966">
        <w:t>considère</w:t>
      </w:r>
      <w:proofErr w:type="spellEnd"/>
      <w:r w:rsidRPr="006F7966">
        <w:t xml:space="preserve"> </w:t>
      </w:r>
      <w:proofErr w:type="spellStart"/>
      <w:r w:rsidRPr="006F7966">
        <w:t>qu’elles</w:t>
      </w:r>
      <w:proofErr w:type="spellEnd"/>
      <w:r w:rsidRPr="006F7966">
        <w:t xml:space="preserve"> </w:t>
      </w:r>
      <w:proofErr w:type="spellStart"/>
      <w:r w:rsidRPr="006F7966">
        <w:t>ont</w:t>
      </w:r>
      <w:proofErr w:type="spellEnd"/>
      <w:r w:rsidRPr="006F7966">
        <w:t xml:space="preserve"> </w:t>
      </w:r>
      <w:proofErr w:type="spellStart"/>
      <w:r w:rsidRPr="006F7966">
        <w:t>été</w:t>
      </w:r>
      <w:proofErr w:type="spellEnd"/>
      <w:r w:rsidRPr="006F7966">
        <w:t xml:space="preserve"> prises dans </w:t>
      </w:r>
      <w:proofErr w:type="spellStart"/>
      <w:r w:rsidRPr="006F7966">
        <w:t>l’intérêt</w:t>
      </w:r>
      <w:proofErr w:type="spellEnd"/>
      <w:r w:rsidRPr="006F7966">
        <w:t xml:space="preserve"> </w:t>
      </w:r>
      <w:proofErr w:type="spellStart"/>
      <w:r w:rsidRPr="006F7966">
        <w:t>supérieur</w:t>
      </w:r>
      <w:proofErr w:type="spellEnd"/>
      <w:r w:rsidRPr="006F7966">
        <w:t xml:space="preserve"> de </w:t>
      </w:r>
      <w:proofErr w:type="spellStart"/>
      <w:r w:rsidRPr="006F7966">
        <w:t>l’enfant</w:t>
      </w:r>
      <w:proofErr w:type="spellEnd"/>
      <w:r w:rsidRPr="006F7966">
        <w:t xml:space="preserve">. </w:t>
      </w:r>
      <w:proofErr w:type="spellStart"/>
      <w:r w:rsidRPr="006F7966">
        <w:t>Ces</w:t>
      </w:r>
      <w:proofErr w:type="spellEnd"/>
      <w:r w:rsidRPr="006F7966">
        <w:t xml:space="preserve"> </w:t>
      </w:r>
      <w:proofErr w:type="spellStart"/>
      <w:r w:rsidRPr="006F7966">
        <w:t>juridictions</w:t>
      </w:r>
      <w:proofErr w:type="spellEnd"/>
      <w:r w:rsidRPr="006F7966">
        <w:t xml:space="preserve"> </w:t>
      </w:r>
      <w:proofErr w:type="spellStart"/>
      <w:r w:rsidRPr="006F7966">
        <w:t>sont</w:t>
      </w:r>
      <w:proofErr w:type="spellEnd"/>
      <w:r w:rsidRPr="006F7966">
        <w:t xml:space="preserve"> parvenues à la conclusion que la </w:t>
      </w:r>
      <w:proofErr w:type="spellStart"/>
      <w:r w:rsidRPr="006F7966">
        <w:t>mesure</w:t>
      </w:r>
      <w:proofErr w:type="spellEnd"/>
      <w:r w:rsidRPr="006F7966">
        <w:t xml:space="preserve"> de placement </w:t>
      </w:r>
      <w:proofErr w:type="spellStart"/>
      <w:r w:rsidRPr="006F7966">
        <w:t>assurerait</w:t>
      </w:r>
      <w:proofErr w:type="spellEnd"/>
      <w:r w:rsidRPr="006F7966">
        <w:t xml:space="preserve"> </w:t>
      </w:r>
      <w:proofErr w:type="spellStart"/>
      <w:r w:rsidRPr="006F7966">
        <w:t>l’équilibre</w:t>
      </w:r>
      <w:proofErr w:type="spellEnd"/>
      <w:r w:rsidRPr="006F7966">
        <w:t xml:space="preserve"> entre les </w:t>
      </w:r>
      <w:proofErr w:type="spellStart"/>
      <w:r w:rsidRPr="006F7966">
        <w:t>intérêts</w:t>
      </w:r>
      <w:proofErr w:type="spellEnd"/>
      <w:r w:rsidRPr="006F7966">
        <w:t xml:space="preserve"> de </w:t>
      </w:r>
      <w:proofErr w:type="spellStart"/>
      <w:r w:rsidRPr="006F7966">
        <w:t>l’enfant</w:t>
      </w:r>
      <w:proofErr w:type="spellEnd"/>
      <w:r w:rsidRPr="006F7966">
        <w:t xml:space="preserve"> et </w:t>
      </w:r>
      <w:proofErr w:type="spellStart"/>
      <w:r w:rsidRPr="006F7966">
        <w:t>ceux</w:t>
      </w:r>
      <w:proofErr w:type="spellEnd"/>
      <w:r w:rsidRPr="006F7966">
        <w:t xml:space="preserve"> de </w:t>
      </w:r>
      <w:proofErr w:type="spellStart"/>
      <w:r w:rsidRPr="006F7966">
        <w:t>sa</w:t>
      </w:r>
      <w:proofErr w:type="spellEnd"/>
      <w:r w:rsidRPr="006F7966">
        <w:t xml:space="preserve"> </w:t>
      </w:r>
      <w:proofErr w:type="spellStart"/>
      <w:r w:rsidRPr="006F7966">
        <w:t>mère</w:t>
      </w:r>
      <w:proofErr w:type="spellEnd"/>
      <w:r w:rsidRPr="006F7966">
        <w:t xml:space="preserve"> et de son </w:t>
      </w:r>
      <w:proofErr w:type="spellStart"/>
      <w:r w:rsidRPr="006F7966">
        <w:t>père</w:t>
      </w:r>
      <w:proofErr w:type="spellEnd"/>
      <w:r w:rsidRPr="006F7966">
        <w:t xml:space="preserve"> et </w:t>
      </w:r>
      <w:proofErr w:type="spellStart"/>
      <w:r w:rsidRPr="006F7966">
        <w:t>qu’il</w:t>
      </w:r>
      <w:proofErr w:type="spellEnd"/>
      <w:r w:rsidRPr="006F7966">
        <w:t xml:space="preserve"> </w:t>
      </w:r>
      <w:proofErr w:type="spellStart"/>
      <w:r w:rsidRPr="006F7966">
        <w:t>serait</w:t>
      </w:r>
      <w:proofErr w:type="spellEnd"/>
      <w:r w:rsidRPr="006F7966">
        <w:t xml:space="preserve"> </w:t>
      </w:r>
      <w:proofErr w:type="spellStart"/>
      <w:r w:rsidRPr="006F7966">
        <w:t>bénéfique</w:t>
      </w:r>
      <w:proofErr w:type="spellEnd"/>
      <w:r w:rsidRPr="006F7966">
        <w:t xml:space="preserve"> au </w:t>
      </w:r>
      <w:proofErr w:type="spellStart"/>
      <w:r w:rsidRPr="006F7966">
        <w:t>développement</w:t>
      </w:r>
      <w:proofErr w:type="spellEnd"/>
      <w:r w:rsidRPr="006F7966">
        <w:t xml:space="preserve"> du premier. Elle note </w:t>
      </w:r>
      <w:proofErr w:type="spellStart"/>
      <w:r w:rsidRPr="006F7966">
        <w:t>d’ailleurs</w:t>
      </w:r>
      <w:proofErr w:type="spellEnd"/>
      <w:r w:rsidRPr="006F7966">
        <w:t xml:space="preserve"> que la </w:t>
      </w:r>
      <w:proofErr w:type="spellStart"/>
      <w:r w:rsidRPr="006F7966">
        <w:t>mesure</w:t>
      </w:r>
      <w:proofErr w:type="spellEnd"/>
      <w:r w:rsidRPr="006F7966">
        <w:t xml:space="preserve"> de placement a </w:t>
      </w:r>
      <w:proofErr w:type="spellStart"/>
      <w:r w:rsidRPr="006F7966">
        <w:t>été</w:t>
      </w:r>
      <w:proofErr w:type="spellEnd"/>
      <w:r w:rsidRPr="006F7966">
        <w:t xml:space="preserve"> levée </w:t>
      </w:r>
      <w:proofErr w:type="spellStart"/>
      <w:r w:rsidRPr="006F7966">
        <w:t>dès</w:t>
      </w:r>
      <w:proofErr w:type="spellEnd"/>
      <w:r w:rsidRPr="006F7966">
        <w:t xml:space="preserve"> que les </w:t>
      </w:r>
      <w:proofErr w:type="spellStart"/>
      <w:r w:rsidRPr="006F7966">
        <w:t>circonstances</w:t>
      </w:r>
      <w:proofErr w:type="spellEnd"/>
      <w:r w:rsidRPr="006F7966">
        <w:t xml:space="preserve"> </w:t>
      </w:r>
      <w:proofErr w:type="spellStart"/>
      <w:r w:rsidRPr="006F7966">
        <w:t>l’ont</w:t>
      </w:r>
      <w:proofErr w:type="spellEnd"/>
      <w:r w:rsidRPr="006F7966">
        <w:t xml:space="preserve"> </w:t>
      </w:r>
      <w:proofErr w:type="spellStart"/>
      <w:r w:rsidRPr="006F7966">
        <w:t>permis</w:t>
      </w:r>
      <w:proofErr w:type="spellEnd"/>
      <w:r w:rsidRPr="006F7966">
        <w:t xml:space="preserve"> et </w:t>
      </w:r>
      <w:proofErr w:type="spellStart"/>
      <w:r w:rsidRPr="006F7966">
        <w:t>l’enfant</w:t>
      </w:r>
      <w:proofErr w:type="spellEnd"/>
      <w:r w:rsidRPr="006F7966">
        <w:t xml:space="preserve"> </w:t>
      </w:r>
      <w:proofErr w:type="spellStart"/>
      <w:r w:rsidRPr="006F7966">
        <w:t>placé</w:t>
      </w:r>
      <w:proofErr w:type="spellEnd"/>
      <w:r w:rsidRPr="006F7966">
        <w:t xml:space="preserve"> </w:t>
      </w:r>
      <w:proofErr w:type="spellStart"/>
      <w:r w:rsidRPr="006F7966">
        <w:t>auprès</w:t>
      </w:r>
      <w:proofErr w:type="spellEnd"/>
      <w:r w:rsidRPr="006F7966">
        <w:t xml:space="preserve"> de son </w:t>
      </w:r>
      <w:proofErr w:type="spellStart"/>
      <w:r w:rsidRPr="006F7966">
        <w:t>père</w:t>
      </w:r>
      <w:proofErr w:type="spellEnd"/>
      <w:r w:rsidRPr="006F7966">
        <w:t xml:space="preserve"> (</w:t>
      </w:r>
      <w:proofErr w:type="spellStart"/>
      <w:r w:rsidRPr="006F7966">
        <w:t>paragraphe</w:t>
      </w:r>
      <w:proofErr w:type="spellEnd"/>
      <w:r w:rsidRPr="006F7966">
        <w:t xml:space="preserve"> 29 ci-dessus). </w:t>
      </w:r>
      <w:proofErr w:type="spellStart"/>
      <w:r w:rsidRPr="006F7966">
        <w:t>Rien</w:t>
      </w:r>
      <w:proofErr w:type="spellEnd"/>
      <w:r w:rsidRPr="006F7966">
        <w:t xml:space="preserve"> au dossier </w:t>
      </w:r>
      <w:proofErr w:type="spellStart"/>
      <w:r w:rsidRPr="006F7966">
        <w:t>n’indique</w:t>
      </w:r>
      <w:proofErr w:type="spellEnd"/>
      <w:r w:rsidRPr="006F7966">
        <w:t xml:space="preserve"> que </w:t>
      </w:r>
      <w:proofErr w:type="spellStart"/>
      <w:r w:rsidRPr="006F7966">
        <w:t>cette</w:t>
      </w:r>
      <w:proofErr w:type="spellEnd"/>
      <w:r w:rsidRPr="006F7966">
        <w:t xml:space="preserve"> conclusion </w:t>
      </w:r>
      <w:proofErr w:type="spellStart"/>
      <w:r w:rsidRPr="006F7966">
        <w:t>soit</w:t>
      </w:r>
      <w:proofErr w:type="spellEnd"/>
      <w:r w:rsidRPr="006F7966">
        <w:t xml:space="preserve"> </w:t>
      </w:r>
      <w:proofErr w:type="spellStart"/>
      <w:r w:rsidRPr="006F7966">
        <w:t>arbitraire</w:t>
      </w:r>
      <w:proofErr w:type="spellEnd"/>
      <w:r w:rsidRPr="006F7966">
        <w:t xml:space="preserve"> </w:t>
      </w:r>
      <w:proofErr w:type="spellStart"/>
      <w:r w:rsidRPr="006F7966">
        <w:t>ou</w:t>
      </w:r>
      <w:proofErr w:type="spellEnd"/>
      <w:r w:rsidRPr="006F7966">
        <w:t xml:space="preserve"> </w:t>
      </w:r>
      <w:proofErr w:type="spellStart"/>
      <w:r w:rsidRPr="006F7966">
        <w:t>manifestement</w:t>
      </w:r>
      <w:proofErr w:type="spellEnd"/>
      <w:r w:rsidRPr="006F7966">
        <w:t xml:space="preserve"> </w:t>
      </w:r>
      <w:proofErr w:type="spellStart"/>
      <w:r w:rsidRPr="006F7966">
        <w:t>déraisonnable</w:t>
      </w:r>
      <w:proofErr w:type="spellEnd"/>
      <w:r w:rsidRPr="006F7966">
        <w:t xml:space="preserve"> et </w:t>
      </w:r>
      <w:proofErr w:type="spellStart"/>
      <w:r w:rsidRPr="006F7966">
        <w:t>excède</w:t>
      </w:r>
      <w:proofErr w:type="spellEnd"/>
      <w:r w:rsidRPr="006F7966">
        <w:t xml:space="preserve"> la marge </w:t>
      </w:r>
      <w:proofErr w:type="spellStart"/>
      <w:r w:rsidRPr="006F7966">
        <w:t>d’appréciation</w:t>
      </w:r>
      <w:proofErr w:type="spellEnd"/>
      <w:r w:rsidRPr="006F7966">
        <w:t xml:space="preserve"> </w:t>
      </w:r>
      <w:proofErr w:type="spellStart"/>
      <w:r w:rsidRPr="006F7966">
        <w:t>reconnue</w:t>
      </w:r>
      <w:proofErr w:type="spellEnd"/>
      <w:r w:rsidRPr="006F7966">
        <w:t xml:space="preserve"> aux </w:t>
      </w:r>
      <w:proofErr w:type="spellStart"/>
      <w:r w:rsidRPr="006F7966">
        <w:t>autorités</w:t>
      </w:r>
      <w:proofErr w:type="spellEnd"/>
      <w:r w:rsidRPr="006F7966">
        <w:t xml:space="preserve"> </w:t>
      </w:r>
      <w:proofErr w:type="spellStart"/>
      <w:r w:rsidRPr="006F7966">
        <w:t>nationales</w:t>
      </w:r>
      <w:proofErr w:type="spellEnd"/>
      <w:r w:rsidRPr="006F7966">
        <w:t xml:space="preserve"> </w:t>
      </w:r>
      <w:proofErr w:type="spellStart"/>
      <w:r w:rsidRPr="006F7966">
        <w:t>en</w:t>
      </w:r>
      <w:proofErr w:type="spellEnd"/>
      <w:r w:rsidRPr="006F7966">
        <w:t xml:space="preserve"> la matière. La </w:t>
      </w:r>
      <w:proofErr w:type="spellStart"/>
      <w:r w:rsidRPr="006F7966">
        <w:t>Cour</w:t>
      </w:r>
      <w:proofErr w:type="spellEnd"/>
      <w:r w:rsidRPr="006F7966">
        <w:t xml:space="preserve"> </w:t>
      </w:r>
      <w:proofErr w:type="spellStart"/>
      <w:r w:rsidRPr="006F7966">
        <w:t>rappelle</w:t>
      </w:r>
      <w:proofErr w:type="spellEnd"/>
      <w:r w:rsidRPr="006F7966">
        <w:t xml:space="preserve"> </w:t>
      </w:r>
      <w:proofErr w:type="spellStart"/>
      <w:r w:rsidRPr="006F7966">
        <w:t>qu’il</w:t>
      </w:r>
      <w:proofErr w:type="spellEnd"/>
      <w:r w:rsidRPr="006F7966">
        <w:t xml:space="preserve"> ne </w:t>
      </w:r>
      <w:proofErr w:type="spellStart"/>
      <w:r w:rsidRPr="006F7966">
        <w:t>lui</w:t>
      </w:r>
      <w:proofErr w:type="spellEnd"/>
      <w:r w:rsidRPr="006F7966">
        <w:t xml:space="preserve"> </w:t>
      </w:r>
      <w:proofErr w:type="spellStart"/>
      <w:r w:rsidRPr="006F7966">
        <w:t>revient</w:t>
      </w:r>
      <w:proofErr w:type="spellEnd"/>
      <w:r w:rsidRPr="006F7966">
        <w:t xml:space="preserve"> pas de </w:t>
      </w:r>
      <w:proofErr w:type="spellStart"/>
      <w:r w:rsidRPr="006F7966">
        <w:t>substituer</w:t>
      </w:r>
      <w:proofErr w:type="spellEnd"/>
      <w:r w:rsidRPr="006F7966">
        <w:t xml:space="preserve"> son </w:t>
      </w:r>
      <w:proofErr w:type="spellStart"/>
      <w:r w:rsidRPr="006F7966">
        <w:t>appréciation</w:t>
      </w:r>
      <w:proofErr w:type="spellEnd"/>
      <w:r w:rsidRPr="006F7966">
        <w:t xml:space="preserve"> à </w:t>
      </w:r>
      <w:proofErr w:type="spellStart"/>
      <w:r w:rsidRPr="006F7966">
        <w:t>celle</w:t>
      </w:r>
      <w:proofErr w:type="spellEnd"/>
      <w:r w:rsidRPr="006F7966">
        <w:t xml:space="preserve"> des </w:t>
      </w:r>
      <w:proofErr w:type="spellStart"/>
      <w:r w:rsidRPr="006F7966">
        <w:t>autorités</w:t>
      </w:r>
      <w:proofErr w:type="spellEnd"/>
      <w:r w:rsidRPr="006F7966">
        <w:t xml:space="preserve"> </w:t>
      </w:r>
      <w:proofErr w:type="spellStart"/>
      <w:r w:rsidRPr="006F7966">
        <w:t>nationales</w:t>
      </w:r>
      <w:proofErr w:type="spellEnd"/>
      <w:r w:rsidRPr="006F7966">
        <w:t xml:space="preserve"> </w:t>
      </w:r>
      <w:proofErr w:type="spellStart"/>
      <w:r w:rsidRPr="006F7966">
        <w:t>compétentes</w:t>
      </w:r>
      <w:proofErr w:type="spellEnd"/>
      <w:r w:rsidRPr="006F7966">
        <w:t xml:space="preserve"> quant aux </w:t>
      </w:r>
      <w:proofErr w:type="spellStart"/>
      <w:r w:rsidRPr="006F7966">
        <w:t>mesures</w:t>
      </w:r>
      <w:proofErr w:type="spellEnd"/>
      <w:r w:rsidRPr="006F7966">
        <w:t xml:space="preserve"> qui </w:t>
      </w:r>
      <w:proofErr w:type="spellStart"/>
      <w:r w:rsidRPr="006F7966">
        <w:t>auraient</w:t>
      </w:r>
      <w:proofErr w:type="spellEnd"/>
      <w:r w:rsidRPr="006F7966">
        <w:t xml:space="preserve"> </w:t>
      </w:r>
      <w:proofErr w:type="spellStart"/>
      <w:r w:rsidRPr="006F7966">
        <w:t>dû</w:t>
      </w:r>
      <w:proofErr w:type="spellEnd"/>
      <w:r w:rsidRPr="006F7966">
        <w:t xml:space="preserve"> </w:t>
      </w:r>
      <w:proofErr w:type="spellStart"/>
      <w:r w:rsidRPr="006F7966">
        <w:t>être</w:t>
      </w:r>
      <w:proofErr w:type="spellEnd"/>
      <w:r w:rsidRPr="006F7966">
        <w:t xml:space="preserve"> prises, </w:t>
      </w:r>
      <w:proofErr w:type="spellStart"/>
      <w:r w:rsidRPr="006F7966">
        <w:t>celles</w:t>
      </w:r>
      <w:proofErr w:type="spellEnd"/>
      <w:r w:rsidRPr="006F7966">
        <w:t xml:space="preserve">-ci </w:t>
      </w:r>
      <w:proofErr w:type="spellStart"/>
      <w:r w:rsidRPr="006F7966">
        <w:t>étant</w:t>
      </w:r>
      <w:proofErr w:type="spellEnd"/>
      <w:r w:rsidRPr="006F7966">
        <w:t xml:space="preserve"> </w:t>
      </w:r>
      <w:proofErr w:type="spellStart"/>
      <w:r w:rsidRPr="006F7966">
        <w:t>en</w:t>
      </w:r>
      <w:proofErr w:type="spellEnd"/>
      <w:r w:rsidRPr="006F7966">
        <w:t xml:space="preserve"> </w:t>
      </w:r>
      <w:proofErr w:type="spellStart"/>
      <w:r w:rsidRPr="006F7966">
        <w:t>principe</w:t>
      </w:r>
      <w:proofErr w:type="spellEnd"/>
      <w:r w:rsidRPr="006F7966">
        <w:t xml:space="preserve"> </w:t>
      </w:r>
      <w:proofErr w:type="spellStart"/>
      <w:r w:rsidRPr="006F7966">
        <w:t>mieux</w:t>
      </w:r>
      <w:proofErr w:type="spellEnd"/>
      <w:r w:rsidRPr="006F7966">
        <w:t xml:space="preserve"> </w:t>
      </w:r>
      <w:proofErr w:type="spellStart"/>
      <w:r w:rsidRPr="006F7966">
        <w:t>placées</w:t>
      </w:r>
      <w:proofErr w:type="spellEnd"/>
      <w:r w:rsidRPr="006F7966">
        <w:t xml:space="preserve"> </w:t>
      </w:r>
      <w:proofErr w:type="spellStart"/>
      <w:r w:rsidRPr="006F7966">
        <w:t>qu’un</w:t>
      </w:r>
      <w:proofErr w:type="spellEnd"/>
      <w:r w:rsidRPr="006F7966">
        <w:t xml:space="preserve"> </w:t>
      </w:r>
      <w:proofErr w:type="spellStart"/>
      <w:r w:rsidRPr="006F7966">
        <w:t>juge</w:t>
      </w:r>
      <w:proofErr w:type="spellEnd"/>
      <w:r w:rsidRPr="006F7966">
        <w:t xml:space="preserve"> international pour </w:t>
      </w:r>
      <w:proofErr w:type="spellStart"/>
      <w:r w:rsidRPr="006F7966">
        <w:t>procéder</w:t>
      </w:r>
      <w:proofErr w:type="spellEnd"/>
      <w:r w:rsidRPr="006F7966">
        <w:t xml:space="preserve"> à </w:t>
      </w:r>
      <w:proofErr w:type="spellStart"/>
      <w:r w:rsidRPr="006F7966">
        <w:t>une</w:t>
      </w:r>
      <w:proofErr w:type="spellEnd"/>
      <w:r w:rsidRPr="006F7966">
        <w:t xml:space="preserve"> </w:t>
      </w:r>
      <w:proofErr w:type="spellStart"/>
      <w:r w:rsidRPr="006F7966">
        <w:t>telle</w:t>
      </w:r>
      <w:proofErr w:type="spellEnd"/>
      <w:r w:rsidRPr="006F7966">
        <w:t xml:space="preserve"> </w:t>
      </w:r>
      <w:proofErr w:type="spellStart"/>
      <w:r w:rsidRPr="006F7966">
        <w:t>évaluation</w:t>
      </w:r>
      <w:proofErr w:type="spellEnd"/>
      <w:r w:rsidRPr="006F7966">
        <w:t xml:space="preserve">, </w:t>
      </w:r>
      <w:proofErr w:type="spellStart"/>
      <w:r w:rsidRPr="006F7966">
        <w:t>en</w:t>
      </w:r>
      <w:proofErr w:type="spellEnd"/>
      <w:r w:rsidRPr="006F7966">
        <w:t xml:space="preserve"> particulier </w:t>
      </w:r>
      <w:proofErr w:type="spellStart"/>
      <w:r w:rsidRPr="006F7966">
        <w:t>parce</w:t>
      </w:r>
      <w:proofErr w:type="spellEnd"/>
      <w:r w:rsidRPr="006F7966">
        <w:t xml:space="preserve"> </w:t>
      </w:r>
      <w:proofErr w:type="spellStart"/>
      <w:r w:rsidRPr="006F7966">
        <w:t>qu’elles</w:t>
      </w:r>
      <w:proofErr w:type="spellEnd"/>
      <w:r w:rsidRPr="006F7966">
        <w:t xml:space="preserve"> </w:t>
      </w:r>
      <w:proofErr w:type="spellStart"/>
      <w:r w:rsidRPr="006F7966">
        <w:t>sont</w:t>
      </w:r>
      <w:proofErr w:type="spellEnd"/>
      <w:r w:rsidRPr="006F7966">
        <w:t xml:space="preserve"> </w:t>
      </w:r>
      <w:proofErr w:type="spellStart"/>
      <w:r w:rsidRPr="006F7966">
        <w:t>en</w:t>
      </w:r>
      <w:proofErr w:type="spellEnd"/>
      <w:r w:rsidRPr="006F7966">
        <w:t xml:space="preserve"> contact direct avec </w:t>
      </w:r>
      <w:proofErr w:type="spellStart"/>
      <w:r w:rsidRPr="006F7966">
        <w:t>l’ensemble</w:t>
      </w:r>
      <w:proofErr w:type="spellEnd"/>
      <w:r w:rsidRPr="006F7966">
        <w:t xml:space="preserve"> des </w:t>
      </w:r>
      <w:proofErr w:type="spellStart"/>
      <w:r w:rsidRPr="006F7966">
        <w:t>personnes</w:t>
      </w:r>
      <w:proofErr w:type="spellEnd"/>
      <w:r w:rsidRPr="006F7966">
        <w:t xml:space="preserve"> </w:t>
      </w:r>
      <w:proofErr w:type="spellStart"/>
      <w:r w:rsidRPr="006F7966">
        <w:t>impliquées</w:t>
      </w:r>
      <w:proofErr w:type="spellEnd"/>
      <w:r w:rsidRPr="006F7966">
        <w:t xml:space="preserve"> (</w:t>
      </w:r>
      <w:r w:rsidRPr="006F7966">
        <w:rPr>
          <w:i/>
        </w:rPr>
        <w:t xml:space="preserve">Olsson c. </w:t>
      </w:r>
      <w:proofErr w:type="spellStart"/>
      <w:r w:rsidRPr="006F7966">
        <w:rPr>
          <w:i/>
        </w:rPr>
        <w:t>Suède</w:t>
      </w:r>
      <w:proofErr w:type="spellEnd"/>
      <w:r w:rsidRPr="006F7966">
        <w:rPr>
          <w:i/>
        </w:rPr>
        <w:t xml:space="preserve"> (n</w:t>
      </w:r>
      <w:r w:rsidRPr="006F7966">
        <w:rPr>
          <w:rFonts w:cs="Times New Roman"/>
          <w:i/>
          <w:vertAlign w:val="superscript"/>
        </w:rPr>
        <w:t>o</w:t>
      </w:r>
      <w:r w:rsidRPr="006F7966">
        <w:rPr>
          <w:i/>
        </w:rPr>
        <w:t xml:space="preserve"> 2)</w:t>
      </w:r>
      <w:r w:rsidRPr="006F7966">
        <w:t xml:space="preserve">, 27 </w:t>
      </w:r>
      <w:proofErr w:type="spellStart"/>
      <w:r w:rsidRPr="006F7966">
        <w:t>novembre</w:t>
      </w:r>
      <w:proofErr w:type="spellEnd"/>
      <w:r w:rsidRPr="006F7966">
        <w:t xml:space="preserve"> 1992, § 90, </w:t>
      </w:r>
      <w:proofErr w:type="spellStart"/>
      <w:r w:rsidRPr="006F7966">
        <w:t>série</w:t>
      </w:r>
      <w:proofErr w:type="spellEnd"/>
      <w:r w:rsidRPr="006F7966">
        <w:t xml:space="preserve"> A n</w:t>
      </w:r>
      <w:r w:rsidRPr="006F7966">
        <w:rPr>
          <w:rFonts w:cs="Times New Roman"/>
          <w:vertAlign w:val="superscript"/>
        </w:rPr>
        <w:t>o</w:t>
      </w:r>
      <w:r w:rsidRPr="006F7966">
        <w:t xml:space="preserve"> 250, </w:t>
      </w:r>
      <w:r w:rsidRPr="006F7966">
        <w:rPr>
          <w:i/>
          <w:iCs/>
        </w:rPr>
        <w:t>E.C. c. Italie</w:t>
      </w:r>
      <w:r w:rsidRPr="006F7966">
        <w:t xml:space="preserve"> (</w:t>
      </w:r>
      <w:proofErr w:type="spellStart"/>
      <w:r w:rsidRPr="006F7966">
        <w:t>déc</w:t>
      </w:r>
      <w:proofErr w:type="spellEnd"/>
      <w:r w:rsidRPr="006F7966">
        <w:t>.), n</w:t>
      </w:r>
      <w:r w:rsidRPr="006F7966">
        <w:rPr>
          <w:vertAlign w:val="superscript"/>
        </w:rPr>
        <w:t>o</w:t>
      </w:r>
      <w:r w:rsidRPr="006F7966">
        <w:t xml:space="preserve"> 82314/17, § 52, 30 </w:t>
      </w:r>
      <w:proofErr w:type="spellStart"/>
      <w:r w:rsidRPr="006F7966">
        <w:t>juin</w:t>
      </w:r>
      <w:proofErr w:type="spellEnd"/>
      <w:r w:rsidRPr="006F7966">
        <w:t xml:space="preserve"> 2020).</w:t>
      </w:r>
    </w:p>
    <w:bookmarkStart w:id="15" w:name="_Hlk87368555"/>
    <w:p w14:paraId="0C1AB970" w14:textId="77777777" w:rsidR="00760E8D" w:rsidRPr="006F7966" w:rsidRDefault="00760E8D" w:rsidP="00760E8D">
      <w:pPr>
        <w:pStyle w:val="ECHRPara"/>
      </w:pPr>
      <w:r w:rsidRPr="006F7966">
        <w:fldChar w:fldCharType="begin"/>
      </w:r>
      <w:r w:rsidRPr="006F7966">
        <w:instrText xml:space="preserve"> SEQ level0 \*arabic \* MERGEFORMAT </w:instrText>
      </w:r>
      <w:r w:rsidRPr="006F7966">
        <w:fldChar w:fldCharType="separate"/>
      </w:r>
      <w:r w:rsidRPr="006F7966">
        <w:rPr>
          <w:noProof/>
        </w:rPr>
        <w:t>62</w:t>
      </w:r>
      <w:r w:rsidRPr="006F7966">
        <w:fldChar w:fldCharType="end"/>
      </w:r>
      <w:r w:rsidRPr="006F7966">
        <w:t>.  </w:t>
      </w:r>
      <w:proofErr w:type="spellStart"/>
      <w:r w:rsidRPr="006F7966">
        <w:t>S’agissant</w:t>
      </w:r>
      <w:proofErr w:type="spellEnd"/>
      <w:r w:rsidRPr="006F7966">
        <w:t xml:space="preserve">, </w:t>
      </w:r>
      <w:proofErr w:type="spellStart"/>
      <w:r w:rsidRPr="006F7966">
        <w:t>en</w:t>
      </w:r>
      <w:proofErr w:type="spellEnd"/>
      <w:r w:rsidRPr="006F7966">
        <w:t xml:space="preserve"> </w:t>
      </w:r>
      <w:proofErr w:type="spellStart"/>
      <w:r w:rsidRPr="006F7966">
        <w:t>troisième</w:t>
      </w:r>
      <w:proofErr w:type="spellEnd"/>
      <w:r w:rsidRPr="006F7966">
        <w:t xml:space="preserve"> lieu, de </w:t>
      </w:r>
      <w:proofErr w:type="spellStart"/>
      <w:r w:rsidRPr="006F7966">
        <w:t>l’exercice</w:t>
      </w:r>
      <w:proofErr w:type="spellEnd"/>
      <w:r w:rsidRPr="006F7966">
        <w:t xml:space="preserve"> du droit de </w:t>
      </w:r>
      <w:proofErr w:type="spellStart"/>
      <w:r w:rsidRPr="006F7966">
        <w:t>visite</w:t>
      </w:r>
      <w:proofErr w:type="spellEnd"/>
      <w:r w:rsidRPr="006F7966">
        <w:t xml:space="preserve">, la </w:t>
      </w:r>
      <w:proofErr w:type="spellStart"/>
      <w:r w:rsidRPr="006F7966">
        <w:t>Cour</w:t>
      </w:r>
      <w:proofErr w:type="spellEnd"/>
      <w:r w:rsidRPr="006F7966">
        <w:t xml:space="preserve"> </w:t>
      </w:r>
      <w:proofErr w:type="spellStart"/>
      <w:r w:rsidRPr="006F7966">
        <w:t>relève</w:t>
      </w:r>
      <w:proofErr w:type="spellEnd"/>
      <w:r w:rsidRPr="006F7966">
        <w:t xml:space="preserve"> que des </w:t>
      </w:r>
      <w:proofErr w:type="spellStart"/>
      <w:r w:rsidRPr="006F7966">
        <w:t>mesures</w:t>
      </w:r>
      <w:proofErr w:type="spellEnd"/>
      <w:r w:rsidRPr="006F7966">
        <w:t xml:space="preserve"> </w:t>
      </w:r>
      <w:proofErr w:type="spellStart"/>
      <w:r w:rsidRPr="006F7966">
        <w:t>propres</w:t>
      </w:r>
      <w:proofErr w:type="spellEnd"/>
      <w:r w:rsidRPr="006F7966">
        <w:t xml:space="preserve"> à </w:t>
      </w:r>
      <w:proofErr w:type="spellStart"/>
      <w:r w:rsidRPr="006F7966">
        <w:t>faciliter</w:t>
      </w:r>
      <w:proofErr w:type="spellEnd"/>
      <w:r w:rsidRPr="006F7966">
        <w:t xml:space="preserve"> la </w:t>
      </w:r>
      <w:proofErr w:type="spellStart"/>
      <w:r w:rsidRPr="006F7966">
        <w:t>réunion</w:t>
      </w:r>
      <w:proofErr w:type="spellEnd"/>
      <w:r w:rsidRPr="006F7966">
        <w:t xml:space="preserve"> de la </w:t>
      </w:r>
      <w:proofErr w:type="spellStart"/>
      <w:r w:rsidRPr="006F7966">
        <w:t>requérante</w:t>
      </w:r>
      <w:proofErr w:type="spellEnd"/>
      <w:r w:rsidRPr="006F7966">
        <w:t xml:space="preserve"> et de son enfant </w:t>
      </w:r>
      <w:proofErr w:type="spellStart"/>
      <w:r w:rsidRPr="006F7966">
        <w:t>ont</w:t>
      </w:r>
      <w:proofErr w:type="spellEnd"/>
      <w:r w:rsidRPr="006F7966">
        <w:t xml:space="preserve"> </w:t>
      </w:r>
      <w:proofErr w:type="spellStart"/>
      <w:r w:rsidRPr="006F7966">
        <w:t>été</w:t>
      </w:r>
      <w:proofErr w:type="spellEnd"/>
      <w:r w:rsidRPr="006F7966">
        <w:t xml:space="preserve"> </w:t>
      </w:r>
      <w:proofErr w:type="spellStart"/>
      <w:r w:rsidRPr="006F7966">
        <w:t>ordonnées</w:t>
      </w:r>
      <w:proofErr w:type="spellEnd"/>
      <w:r w:rsidRPr="006F7966">
        <w:t xml:space="preserve"> </w:t>
      </w:r>
      <w:proofErr w:type="spellStart"/>
      <w:r w:rsidRPr="006F7966">
        <w:t>dès</w:t>
      </w:r>
      <w:proofErr w:type="spellEnd"/>
      <w:r w:rsidRPr="006F7966">
        <w:t xml:space="preserve"> le placement de </w:t>
      </w:r>
      <w:proofErr w:type="spellStart"/>
      <w:r w:rsidRPr="006F7966">
        <w:t>celui</w:t>
      </w:r>
      <w:proofErr w:type="spellEnd"/>
      <w:r w:rsidRPr="006F7966">
        <w:t xml:space="preserve">-ci, avec la perspective </w:t>
      </w:r>
      <w:proofErr w:type="spellStart"/>
      <w:r w:rsidRPr="006F7966">
        <w:t>d’une</w:t>
      </w:r>
      <w:proofErr w:type="spellEnd"/>
      <w:r w:rsidRPr="006F7966">
        <w:t xml:space="preserve"> </w:t>
      </w:r>
      <w:proofErr w:type="spellStart"/>
      <w:r w:rsidRPr="006F7966">
        <w:t>évolution</w:t>
      </w:r>
      <w:proofErr w:type="spellEnd"/>
      <w:r w:rsidRPr="006F7966">
        <w:t xml:space="preserve"> du droit de </w:t>
      </w:r>
      <w:proofErr w:type="spellStart"/>
      <w:r w:rsidRPr="006F7966">
        <w:t>visite</w:t>
      </w:r>
      <w:proofErr w:type="spellEnd"/>
      <w:r w:rsidRPr="006F7966">
        <w:t xml:space="preserve">. Dans un premier temps, le </w:t>
      </w:r>
      <w:proofErr w:type="spellStart"/>
      <w:r w:rsidRPr="006F7966">
        <w:t>juge</w:t>
      </w:r>
      <w:proofErr w:type="spellEnd"/>
      <w:r w:rsidRPr="006F7966">
        <w:t xml:space="preserve"> a </w:t>
      </w:r>
      <w:proofErr w:type="spellStart"/>
      <w:r w:rsidRPr="006F7966">
        <w:t>considéré</w:t>
      </w:r>
      <w:proofErr w:type="spellEnd"/>
      <w:r w:rsidRPr="006F7966">
        <w:t xml:space="preserve"> que </w:t>
      </w:r>
      <w:proofErr w:type="spellStart"/>
      <w:r w:rsidRPr="006F7966">
        <w:t>ce</w:t>
      </w:r>
      <w:proofErr w:type="spellEnd"/>
      <w:r w:rsidRPr="006F7966">
        <w:t xml:space="preserve"> droit </w:t>
      </w:r>
      <w:proofErr w:type="spellStart"/>
      <w:r w:rsidRPr="006F7966">
        <w:t>devait</w:t>
      </w:r>
      <w:proofErr w:type="spellEnd"/>
      <w:r w:rsidRPr="006F7966">
        <w:t xml:space="preserve"> </w:t>
      </w:r>
      <w:proofErr w:type="spellStart"/>
      <w:r w:rsidRPr="006F7966">
        <w:t>être</w:t>
      </w:r>
      <w:proofErr w:type="spellEnd"/>
      <w:r w:rsidRPr="006F7966">
        <w:t xml:space="preserve"> </w:t>
      </w:r>
      <w:proofErr w:type="spellStart"/>
      <w:r w:rsidRPr="006F7966">
        <w:t>exercé</w:t>
      </w:r>
      <w:proofErr w:type="spellEnd"/>
      <w:r w:rsidRPr="006F7966">
        <w:t xml:space="preserve"> dans le cadre </w:t>
      </w:r>
      <w:proofErr w:type="spellStart"/>
      <w:r w:rsidRPr="006F7966">
        <w:t>médiatisé</w:t>
      </w:r>
      <w:proofErr w:type="spellEnd"/>
      <w:r w:rsidRPr="006F7966">
        <w:t xml:space="preserve"> des rencontres </w:t>
      </w:r>
      <w:proofErr w:type="spellStart"/>
      <w:r w:rsidRPr="006F7966">
        <w:t>afin</w:t>
      </w:r>
      <w:proofErr w:type="spellEnd"/>
      <w:r w:rsidRPr="006F7966">
        <w:t xml:space="preserve"> de </w:t>
      </w:r>
      <w:proofErr w:type="spellStart"/>
      <w:r w:rsidRPr="006F7966">
        <w:t>préserver</w:t>
      </w:r>
      <w:proofErr w:type="spellEnd"/>
      <w:r w:rsidRPr="006F7966">
        <w:t xml:space="preserve"> un </w:t>
      </w:r>
      <w:proofErr w:type="spellStart"/>
      <w:r w:rsidRPr="006F7966">
        <w:t>environnement</w:t>
      </w:r>
      <w:proofErr w:type="spellEnd"/>
      <w:r w:rsidRPr="006F7966">
        <w:t xml:space="preserve"> </w:t>
      </w:r>
      <w:proofErr w:type="spellStart"/>
      <w:r w:rsidRPr="006F7966">
        <w:t>protecteur</w:t>
      </w:r>
      <w:proofErr w:type="spellEnd"/>
      <w:r w:rsidRPr="006F7966">
        <w:t xml:space="preserve"> pour </w:t>
      </w:r>
      <w:proofErr w:type="spellStart"/>
      <w:r w:rsidRPr="006F7966">
        <w:t>l’enfant</w:t>
      </w:r>
      <w:proofErr w:type="spellEnd"/>
      <w:r w:rsidRPr="006F7966">
        <w:t xml:space="preserve">. Le </w:t>
      </w:r>
      <w:proofErr w:type="spellStart"/>
      <w:r w:rsidRPr="006F7966">
        <w:t>juge</w:t>
      </w:r>
      <w:proofErr w:type="spellEnd"/>
      <w:r w:rsidRPr="006F7966">
        <w:t xml:space="preserve"> </w:t>
      </w:r>
      <w:proofErr w:type="gramStart"/>
      <w:r w:rsidRPr="006F7966">
        <w:t>a</w:t>
      </w:r>
      <w:proofErr w:type="gramEnd"/>
      <w:r w:rsidRPr="006F7966">
        <w:t xml:space="preserve"> ensuite </w:t>
      </w:r>
      <w:proofErr w:type="spellStart"/>
      <w:r w:rsidRPr="006F7966">
        <w:t>décidé</w:t>
      </w:r>
      <w:proofErr w:type="spellEnd"/>
      <w:r w:rsidRPr="006F7966">
        <w:t xml:space="preserve">, au vu de </w:t>
      </w:r>
      <w:proofErr w:type="spellStart"/>
      <w:r w:rsidRPr="006F7966">
        <w:t>l’évolution</w:t>
      </w:r>
      <w:proofErr w:type="spellEnd"/>
      <w:r w:rsidRPr="006F7966">
        <w:t xml:space="preserve"> de la situation, </w:t>
      </w:r>
      <w:proofErr w:type="spellStart"/>
      <w:r w:rsidRPr="006F7966">
        <w:t>d’octroyer</w:t>
      </w:r>
      <w:proofErr w:type="spellEnd"/>
      <w:r w:rsidRPr="006F7966">
        <w:t xml:space="preserve"> un droit de </w:t>
      </w:r>
      <w:proofErr w:type="spellStart"/>
      <w:r w:rsidRPr="006F7966">
        <w:t>visite</w:t>
      </w:r>
      <w:proofErr w:type="spellEnd"/>
      <w:r w:rsidRPr="006F7966">
        <w:t xml:space="preserve"> non </w:t>
      </w:r>
      <w:proofErr w:type="spellStart"/>
      <w:r w:rsidRPr="006F7966">
        <w:t>médiatisé</w:t>
      </w:r>
      <w:proofErr w:type="spellEnd"/>
      <w:r w:rsidRPr="006F7966">
        <w:t xml:space="preserve">. Il </w:t>
      </w:r>
      <w:proofErr w:type="spellStart"/>
      <w:r w:rsidRPr="006F7966">
        <w:t>est</w:t>
      </w:r>
      <w:proofErr w:type="spellEnd"/>
      <w:r w:rsidRPr="006F7966">
        <w:t xml:space="preserve"> </w:t>
      </w:r>
      <w:proofErr w:type="spellStart"/>
      <w:r w:rsidRPr="006F7966">
        <w:t>vrai</w:t>
      </w:r>
      <w:proofErr w:type="spellEnd"/>
      <w:r w:rsidRPr="006F7966">
        <w:t xml:space="preserve"> que la </w:t>
      </w:r>
      <w:proofErr w:type="spellStart"/>
      <w:r w:rsidRPr="006F7966">
        <w:t>décision</w:t>
      </w:r>
      <w:proofErr w:type="spellEnd"/>
      <w:r w:rsidRPr="006F7966">
        <w:t xml:space="preserve"> du 7 mars 2018 </w:t>
      </w:r>
      <w:proofErr w:type="spellStart"/>
      <w:r w:rsidRPr="006F7966">
        <w:t>n’a</w:t>
      </w:r>
      <w:proofErr w:type="spellEnd"/>
      <w:r w:rsidRPr="006F7966">
        <w:t xml:space="preserve"> pas </w:t>
      </w:r>
      <w:proofErr w:type="spellStart"/>
      <w:r w:rsidRPr="006F7966">
        <w:t>été</w:t>
      </w:r>
      <w:proofErr w:type="spellEnd"/>
      <w:r w:rsidRPr="006F7966">
        <w:t xml:space="preserve"> </w:t>
      </w:r>
      <w:proofErr w:type="spellStart"/>
      <w:r w:rsidRPr="006F7966">
        <w:t>suivie</w:t>
      </w:r>
      <w:proofErr w:type="spellEnd"/>
      <w:r w:rsidRPr="006F7966">
        <w:t xml:space="preserve"> </w:t>
      </w:r>
      <w:proofErr w:type="spellStart"/>
      <w:r w:rsidRPr="006F7966">
        <w:t>d’effet</w:t>
      </w:r>
      <w:proofErr w:type="spellEnd"/>
      <w:r w:rsidRPr="006F7966">
        <w:t xml:space="preserve">, les </w:t>
      </w:r>
      <w:proofErr w:type="spellStart"/>
      <w:r w:rsidRPr="006F7966">
        <w:t>visites</w:t>
      </w:r>
      <w:proofErr w:type="spellEnd"/>
      <w:r w:rsidRPr="006F7966">
        <w:t xml:space="preserve"> non </w:t>
      </w:r>
      <w:proofErr w:type="spellStart"/>
      <w:r w:rsidRPr="006F7966">
        <w:t>médiatisées</w:t>
      </w:r>
      <w:proofErr w:type="spellEnd"/>
      <w:r w:rsidRPr="006F7966">
        <w:t xml:space="preserve"> </w:t>
      </w:r>
      <w:proofErr w:type="spellStart"/>
      <w:r w:rsidRPr="006F7966">
        <w:t>n’ayant</w:t>
      </w:r>
      <w:proofErr w:type="spellEnd"/>
      <w:r w:rsidRPr="006F7966">
        <w:t xml:space="preserve"> pas </w:t>
      </w:r>
      <w:proofErr w:type="spellStart"/>
      <w:r w:rsidRPr="006F7966">
        <w:t>pu</w:t>
      </w:r>
      <w:proofErr w:type="spellEnd"/>
      <w:r w:rsidRPr="006F7966">
        <w:t xml:space="preserve"> </w:t>
      </w:r>
      <w:proofErr w:type="spellStart"/>
      <w:r w:rsidRPr="006F7966">
        <w:t>être</w:t>
      </w:r>
      <w:proofErr w:type="spellEnd"/>
      <w:r w:rsidRPr="006F7966">
        <w:t xml:space="preserve"> mises </w:t>
      </w:r>
      <w:proofErr w:type="spellStart"/>
      <w:r w:rsidRPr="006F7966">
        <w:t>en</w:t>
      </w:r>
      <w:proofErr w:type="spellEnd"/>
      <w:r w:rsidRPr="006F7966">
        <w:t xml:space="preserve"> place. La </w:t>
      </w:r>
      <w:proofErr w:type="spellStart"/>
      <w:r w:rsidRPr="006F7966">
        <w:t>Cour</w:t>
      </w:r>
      <w:proofErr w:type="spellEnd"/>
      <w:r w:rsidRPr="006F7966">
        <w:t xml:space="preserve"> </w:t>
      </w:r>
      <w:proofErr w:type="spellStart"/>
      <w:r w:rsidRPr="006F7966">
        <w:t>rappelle</w:t>
      </w:r>
      <w:proofErr w:type="spellEnd"/>
      <w:r w:rsidRPr="006F7966">
        <w:t xml:space="preserve"> que </w:t>
      </w:r>
      <w:proofErr w:type="spellStart"/>
      <w:r w:rsidRPr="006F7966">
        <w:t>l’exécution</w:t>
      </w:r>
      <w:proofErr w:type="spellEnd"/>
      <w:r w:rsidRPr="006F7966">
        <w:t xml:space="preserve"> </w:t>
      </w:r>
      <w:proofErr w:type="spellStart"/>
      <w:r w:rsidRPr="006F7966">
        <w:t>d’une</w:t>
      </w:r>
      <w:proofErr w:type="spellEnd"/>
      <w:r w:rsidRPr="006F7966">
        <w:t xml:space="preserve"> </w:t>
      </w:r>
      <w:proofErr w:type="spellStart"/>
      <w:r w:rsidRPr="006F7966">
        <w:t>décision</w:t>
      </w:r>
      <w:proofErr w:type="spellEnd"/>
      <w:r w:rsidRPr="006F7966">
        <w:t xml:space="preserve"> </w:t>
      </w:r>
      <w:proofErr w:type="spellStart"/>
      <w:r w:rsidRPr="006F7966">
        <w:t>judiciaire</w:t>
      </w:r>
      <w:proofErr w:type="spellEnd"/>
      <w:r w:rsidRPr="006F7966">
        <w:t xml:space="preserve"> </w:t>
      </w:r>
      <w:proofErr w:type="spellStart"/>
      <w:r w:rsidRPr="006F7966">
        <w:t>portant</w:t>
      </w:r>
      <w:proofErr w:type="spellEnd"/>
      <w:r w:rsidRPr="006F7966">
        <w:t xml:space="preserve"> sur </w:t>
      </w:r>
      <w:proofErr w:type="spellStart"/>
      <w:r w:rsidRPr="006F7966">
        <w:t>l’octroi</w:t>
      </w:r>
      <w:proofErr w:type="spellEnd"/>
      <w:r w:rsidRPr="006F7966">
        <w:t xml:space="preserve"> à un parent d’un droit de </w:t>
      </w:r>
      <w:proofErr w:type="spellStart"/>
      <w:r w:rsidRPr="006F7966">
        <w:t>visite</w:t>
      </w:r>
      <w:proofErr w:type="spellEnd"/>
      <w:r w:rsidRPr="006F7966">
        <w:t xml:space="preserve"> à </w:t>
      </w:r>
      <w:proofErr w:type="spellStart"/>
      <w:r w:rsidRPr="006F7966">
        <w:t>l’égard</w:t>
      </w:r>
      <w:proofErr w:type="spellEnd"/>
      <w:r w:rsidRPr="006F7966">
        <w:t xml:space="preserve"> de son enfant </w:t>
      </w:r>
      <w:proofErr w:type="spellStart"/>
      <w:r w:rsidRPr="006F7966">
        <w:t>appelle</w:t>
      </w:r>
      <w:proofErr w:type="spellEnd"/>
      <w:r w:rsidRPr="006F7966">
        <w:t xml:space="preserve"> </w:t>
      </w:r>
      <w:proofErr w:type="spellStart"/>
      <w:r w:rsidRPr="006F7966">
        <w:t>en</w:t>
      </w:r>
      <w:proofErr w:type="spellEnd"/>
      <w:r w:rsidRPr="006F7966">
        <w:t xml:space="preserve"> </w:t>
      </w:r>
      <w:proofErr w:type="spellStart"/>
      <w:r w:rsidRPr="006F7966">
        <w:t>principe</w:t>
      </w:r>
      <w:proofErr w:type="spellEnd"/>
      <w:r w:rsidRPr="006F7966">
        <w:t xml:space="preserve"> </w:t>
      </w:r>
      <w:proofErr w:type="spellStart"/>
      <w:r w:rsidRPr="006F7966">
        <w:t>une</w:t>
      </w:r>
      <w:proofErr w:type="spellEnd"/>
      <w:r w:rsidRPr="006F7966">
        <w:t xml:space="preserve"> </w:t>
      </w:r>
      <w:proofErr w:type="spellStart"/>
      <w:r w:rsidRPr="006F7966">
        <w:t>exécution</w:t>
      </w:r>
      <w:proofErr w:type="spellEnd"/>
      <w:r w:rsidRPr="006F7966">
        <w:t xml:space="preserve"> à </w:t>
      </w:r>
      <w:proofErr w:type="spellStart"/>
      <w:r w:rsidRPr="006F7966">
        <w:t>bref</w:t>
      </w:r>
      <w:proofErr w:type="spellEnd"/>
      <w:r w:rsidRPr="006F7966">
        <w:t xml:space="preserve"> </w:t>
      </w:r>
      <w:proofErr w:type="spellStart"/>
      <w:r w:rsidRPr="006F7966">
        <w:t>délai</w:t>
      </w:r>
      <w:proofErr w:type="spellEnd"/>
      <w:r w:rsidRPr="006F7966">
        <w:t xml:space="preserve"> car le passage du temps </w:t>
      </w:r>
      <w:proofErr w:type="spellStart"/>
      <w:r w:rsidRPr="006F7966">
        <w:t>peut</w:t>
      </w:r>
      <w:proofErr w:type="spellEnd"/>
      <w:r w:rsidRPr="006F7966">
        <w:t xml:space="preserve"> </w:t>
      </w:r>
      <w:proofErr w:type="spellStart"/>
      <w:r w:rsidRPr="006F7966">
        <w:t>avoir</w:t>
      </w:r>
      <w:proofErr w:type="spellEnd"/>
      <w:r w:rsidRPr="006F7966">
        <w:t xml:space="preserve"> des </w:t>
      </w:r>
      <w:proofErr w:type="spellStart"/>
      <w:r w:rsidRPr="006F7966">
        <w:t>conséquences</w:t>
      </w:r>
      <w:proofErr w:type="spellEnd"/>
      <w:r w:rsidRPr="006F7966">
        <w:t xml:space="preserve"> </w:t>
      </w:r>
      <w:proofErr w:type="spellStart"/>
      <w:r w:rsidRPr="006F7966">
        <w:t>irrémédiables</w:t>
      </w:r>
      <w:proofErr w:type="spellEnd"/>
      <w:r w:rsidRPr="006F7966">
        <w:t xml:space="preserve"> sur la relation entre </w:t>
      </w:r>
      <w:proofErr w:type="spellStart"/>
      <w:r w:rsidRPr="006F7966">
        <w:t>l’enfant</w:t>
      </w:r>
      <w:proofErr w:type="spellEnd"/>
      <w:r w:rsidRPr="006F7966">
        <w:t xml:space="preserve"> et le parent qui ne vit pas avec </w:t>
      </w:r>
      <w:proofErr w:type="spellStart"/>
      <w:r w:rsidRPr="006F7966">
        <w:t>lui</w:t>
      </w:r>
      <w:proofErr w:type="spellEnd"/>
      <w:r w:rsidRPr="006F7966">
        <w:t xml:space="preserve"> (</w:t>
      </w:r>
      <w:r w:rsidRPr="006F7966">
        <w:rPr>
          <w:i/>
          <w:iCs/>
        </w:rPr>
        <w:t>mutatis mutandis</w:t>
      </w:r>
      <w:r w:rsidRPr="006F7966">
        <w:t xml:space="preserve">, </w:t>
      </w:r>
      <w:proofErr w:type="spellStart"/>
      <w:r w:rsidRPr="006F7966">
        <w:rPr>
          <w:i/>
        </w:rPr>
        <w:t>Ignaccolo-Zenide</w:t>
      </w:r>
      <w:proofErr w:type="spellEnd"/>
      <w:r w:rsidRPr="006F7966">
        <w:rPr>
          <w:i/>
        </w:rPr>
        <w:t xml:space="preserve"> c. </w:t>
      </w:r>
      <w:proofErr w:type="spellStart"/>
      <w:r w:rsidRPr="006F7966">
        <w:rPr>
          <w:i/>
        </w:rPr>
        <w:t>Roumanie</w:t>
      </w:r>
      <w:proofErr w:type="spellEnd"/>
      <w:r w:rsidRPr="006F7966">
        <w:t>, n</w:t>
      </w:r>
      <w:r w:rsidRPr="006F7966">
        <w:rPr>
          <w:vertAlign w:val="superscript"/>
        </w:rPr>
        <w:t>o</w:t>
      </w:r>
      <w:r w:rsidRPr="006F7966">
        <w:t> 31679/96, § 102, CEDH 2000</w:t>
      </w:r>
      <w:r w:rsidRPr="006F7966">
        <w:noBreakHyphen/>
        <w:t xml:space="preserve">I, </w:t>
      </w:r>
      <w:r w:rsidRPr="006F7966">
        <w:rPr>
          <w:i/>
        </w:rPr>
        <w:t>Maire c. Portugal</w:t>
      </w:r>
      <w:r w:rsidRPr="006F7966">
        <w:t>, n</w:t>
      </w:r>
      <w:r w:rsidRPr="006F7966">
        <w:rPr>
          <w:vertAlign w:val="superscript"/>
        </w:rPr>
        <w:t>o</w:t>
      </w:r>
      <w:r w:rsidRPr="006F7966">
        <w:t xml:space="preserve"> 48206/99, § 74, CEDH 2003</w:t>
      </w:r>
      <w:r w:rsidRPr="006F7966">
        <w:noBreakHyphen/>
        <w:t xml:space="preserve">VII, </w:t>
      </w:r>
      <w:proofErr w:type="spellStart"/>
      <w:r w:rsidRPr="006F7966">
        <w:rPr>
          <w:i/>
        </w:rPr>
        <w:t>Plasse</w:t>
      </w:r>
      <w:proofErr w:type="spellEnd"/>
      <w:r w:rsidRPr="006F7966">
        <w:rPr>
          <w:i/>
        </w:rPr>
        <w:t>-Bauer c. France</w:t>
      </w:r>
      <w:r w:rsidRPr="006F7966">
        <w:t>, n</w:t>
      </w:r>
      <w:r w:rsidRPr="006F7966">
        <w:rPr>
          <w:vertAlign w:val="superscript"/>
        </w:rPr>
        <w:t>o</w:t>
      </w:r>
      <w:r w:rsidRPr="006F7966">
        <w:t xml:space="preserve"> 21324/02, § 46, 28 </w:t>
      </w:r>
      <w:proofErr w:type="spellStart"/>
      <w:r w:rsidRPr="006F7966">
        <w:t>février</w:t>
      </w:r>
      <w:proofErr w:type="spellEnd"/>
      <w:r w:rsidRPr="006F7966">
        <w:t xml:space="preserve"> 2006). La </w:t>
      </w:r>
      <w:proofErr w:type="spellStart"/>
      <w:r w:rsidRPr="006F7966">
        <w:t>Cour</w:t>
      </w:r>
      <w:proofErr w:type="spellEnd"/>
      <w:r w:rsidRPr="006F7966">
        <w:t xml:space="preserve"> note </w:t>
      </w:r>
      <w:proofErr w:type="spellStart"/>
      <w:r w:rsidRPr="006F7966">
        <w:t>toutefois</w:t>
      </w:r>
      <w:proofErr w:type="spellEnd"/>
      <w:r w:rsidRPr="006F7966">
        <w:t xml:space="preserve"> que le JE a </w:t>
      </w:r>
      <w:proofErr w:type="spellStart"/>
      <w:r w:rsidRPr="006F7966">
        <w:t>réagi</w:t>
      </w:r>
      <w:proofErr w:type="spellEnd"/>
      <w:r w:rsidRPr="006F7966">
        <w:t xml:space="preserve"> avec diligence aux </w:t>
      </w:r>
      <w:proofErr w:type="spellStart"/>
      <w:r w:rsidRPr="006F7966">
        <w:t>sollicitations</w:t>
      </w:r>
      <w:proofErr w:type="spellEnd"/>
      <w:r w:rsidRPr="006F7966">
        <w:t xml:space="preserve"> de la </w:t>
      </w:r>
      <w:proofErr w:type="spellStart"/>
      <w:r w:rsidRPr="006F7966">
        <w:t>requérante</w:t>
      </w:r>
      <w:proofErr w:type="spellEnd"/>
      <w:r w:rsidRPr="006F7966">
        <w:t xml:space="preserve"> sur </w:t>
      </w:r>
      <w:proofErr w:type="spellStart"/>
      <w:r w:rsidRPr="006F7966">
        <w:t>ce</w:t>
      </w:r>
      <w:proofErr w:type="spellEnd"/>
      <w:r w:rsidRPr="006F7966">
        <w:t xml:space="preserve"> point </w:t>
      </w:r>
      <w:proofErr w:type="spellStart"/>
      <w:r w:rsidRPr="006F7966">
        <w:t>en</w:t>
      </w:r>
      <w:proofErr w:type="spellEnd"/>
      <w:r w:rsidRPr="006F7966">
        <w:t xml:space="preserve"> </w:t>
      </w:r>
      <w:proofErr w:type="spellStart"/>
      <w:r w:rsidRPr="006F7966">
        <w:t>s’inquiétant</w:t>
      </w:r>
      <w:proofErr w:type="spellEnd"/>
      <w:r w:rsidRPr="006F7966">
        <w:t xml:space="preserve"> des raisons des </w:t>
      </w:r>
      <w:proofErr w:type="spellStart"/>
      <w:r w:rsidRPr="006F7966">
        <w:t>réticences</w:t>
      </w:r>
      <w:proofErr w:type="spellEnd"/>
      <w:r w:rsidRPr="006F7966">
        <w:t xml:space="preserve"> des services </w:t>
      </w:r>
      <w:proofErr w:type="spellStart"/>
      <w:r w:rsidRPr="006F7966">
        <w:t>saisis</w:t>
      </w:r>
      <w:proofErr w:type="spellEnd"/>
      <w:r w:rsidRPr="006F7966">
        <w:t xml:space="preserve"> à </w:t>
      </w:r>
      <w:proofErr w:type="spellStart"/>
      <w:r w:rsidRPr="006F7966">
        <w:t>cet</w:t>
      </w:r>
      <w:proofErr w:type="spellEnd"/>
      <w:r w:rsidRPr="006F7966">
        <w:t xml:space="preserve"> </w:t>
      </w:r>
      <w:proofErr w:type="spellStart"/>
      <w:r w:rsidRPr="006F7966">
        <w:t>égard</w:t>
      </w:r>
      <w:proofErr w:type="spellEnd"/>
      <w:r w:rsidRPr="006F7966">
        <w:t xml:space="preserve"> et </w:t>
      </w:r>
      <w:proofErr w:type="spellStart"/>
      <w:r w:rsidRPr="006F7966">
        <w:t>en</w:t>
      </w:r>
      <w:proofErr w:type="spellEnd"/>
      <w:r w:rsidRPr="006F7966">
        <w:t xml:space="preserve"> </w:t>
      </w:r>
      <w:proofErr w:type="spellStart"/>
      <w:r w:rsidRPr="006F7966">
        <w:t>l’informant</w:t>
      </w:r>
      <w:proofErr w:type="spellEnd"/>
      <w:r w:rsidRPr="006F7966">
        <w:t xml:space="preserve"> </w:t>
      </w:r>
      <w:proofErr w:type="spellStart"/>
      <w:r w:rsidRPr="006F7966">
        <w:t>promptement</w:t>
      </w:r>
      <w:proofErr w:type="spellEnd"/>
      <w:r w:rsidRPr="006F7966">
        <w:t xml:space="preserve"> (</w:t>
      </w:r>
      <w:proofErr w:type="spellStart"/>
      <w:r w:rsidRPr="006F7966">
        <w:t>paragraphe</w:t>
      </w:r>
      <w:proofErr w:type="spellEnd"/>
      <w:r w:rsidRPr="006F7966">
        <w:t xml:space="preserve"> 21 ci-dessus). Il a ensuite </w:t>
      </w:r>
      <w:proofErr w:type="spellStart"/>
      <w:r w:rsidRPr="006F7966">
        <w:t>modifié</w:t>
      </w:r>
      <w:proofErr w:type="spellEnd"/>
      <w:r w:rsidRPr="006F7966">
        <w:t xml:space="preserve">, à </w:t>
      </w:r>
      <w:proofErr w:type="spellStart"/>
      <w:r w:rsidRPr="006F7966">
        <w:t>bref</w:t>
      </w:r>
      <w:proofErr w:type="spellEnd"/>
      <w:r w:rsidRPr="006F7966">
        <w:t xml:space="preserve"> </w:t>
      </w:r>
      <w:proofErr w:type="spellStart"/>
      <w:r w:rsidRPr="006F7966">
        <w:t>délai</w:t>
      </w:r>
      <w:proofErr w:type="spellEnd"/>
      <w:r w:rsidRPr="006F7966">
        <w:t xml:space="preserve">, le </w:t>
      </w:r>
      <w:proofErr w:type="spellStart"/>
      <w:r w:rsidRPr="006F7966">
        <w:t>contenu</w:t>
      </w:r>
      <w:proofErr w:type="spellEnd"/>
      <w:r w:rsidRPr="006F7966">
        <w:t xml:space="preserve"> de </w:t>
      </w:r>
      <w:proofErr w:type="spellStart"/>
      <w:r w:rsidRPr="006F7966">
        <w:t>ses</w:t>
      </w:r>
      <w:proofErr w:type="spellEnd"/>
      <w:r w:rsidRPr="006F7966">
        <w:t xml:space="preserve"> droits </w:t>
      </w:r>
      <w:proofErr w:type="spellStart"/>
      <w:r w:rsidRPr="006F7966">
        <w:t>afin</w:t>
      </w:r>
      <w:proofErr w:type="spellEnd"/>
      <w:r w:rsidRPr="006F7966">
        <w:t xml:space="preserve"> </w:t>
      </w:r>
      <w:proofErr w:type="spellStart"/>
      <w:r w:rsidRPr="006F7966">
        <w:t>d’assurer</w:t>
      </w:r>
      <w:proofErr w:type="spellEnd"/>
      <w:r w:rsidRPr="006F7966">
        <w:t xml:space="preserve"> </w:t>
      </w:r>
      <w:proofErr w:type="spellStart"/>
      <w:r w:rsidRPr="006F7966">
        <w:t>leur</w:t>
      </w:r>
      <w:proofErr w:type="spellEnd"/>
      <w:r w:rsidRPr="006F7966">
        <w:t xml:space="preserve"> </w:t>
      </w:r>
      <w:proofErr w:type="spellStart"/>
      <w:r w:rsidRPr="006F7966">
        <w:t>effectivité</w:t>
      </w:r>
      <w:proofErr w:type="spellEnd"/>
      <w:r w:rsidRPr="006F7966">
        <w:t xml:space="preserve"> (</w:t>
      </w:r>
      <w:proofErr w:type="spellStart"/>
      <w:r w:rsidRPr="006F7966">
        <w:t>paragraphe</w:t>
      </w:r>
      <w:proofErr w:type="spellEnd"/>
      <w:r w:rsidRPr="006F7966">
        <w:t xml:space="preserve"> 28 ci-dessus). La </w:t>
      </w:r>
      <w:proofErr w:type="spellStart"/>
      <w:r w:rsidRPr="006F7966">
        <w:t>requérante</w:t>
      </w:r>
      <w:proofErr w:type="spellEnd"/>
      <w:r w:rsidRPr="006F7966">
        <w:t xml:space="preserve"> </w:t>
      </w:r>
      <w:proofErr w:type="gramStart"/>
      <w:r w:rsidRPr="006F7966">
        <w:t>a</w:t>
      </w:r>
      <w:proofErr w:type="gramEnd"/>
      <w:r w:rsidRPr="006F7966">
        <w:t xml:space="preserve"> </w:t>
      </w:r>
      <w:proofErr w:type="spellStart"/>
      <w:r w:rsidRPr="006F7966">
        <w:t>ainsi</w:t>
      </w:r>
      <w:proofErr w:type="spellEnd"/>
      <w:r w:rsidRPr="006F7966">
        <w:t xml:space="preserve"> </w:t>
      </w:r>
      <w:proofErr w:type="spellStart"/>
      <w:r w:rsidRPr="006F7966">
        <w:t>bénéficié</w:t>
      </w:r>
      <w:proofErr w:type="spellEnd"/>
      <w:r w:rsidRPr="006F7966">
        <w:t xml:space="preserve"> d’un droit de </w:t>
      </w:r>
      <w:proofErr w:type="spellStart"/>
      <w:r w:rsidRPr="006F7966">
        <w:t>visite</w:t>
      </w:r>
      <w:proofErr w:type="spellEnd"/>
      <w:r w:rsidRPr="006F7966">
        <w:t xml:space="preserve"> </w:t>
      </w:r>
      <w:proofErr w:type="spellStart"/>
      <w:r w:rsidRPr="006F7966">
        <w:t>hebdomadaire</w:t>
      </w:r>
      <w:proofErr w:type="spellEnd"/>
      <w:r w:rsidRPr="006F7966">
        <w:t xml:space="preserve">, </w:t>
      </w:r>
      <w:proofErr w:type="spellStart"/>
      <w:r w:rsidRPr="006F7966">
        <w:t>auquel</w:t>
      </w:r>
      <w:proofErr w:type="spellEnd"/>
      <w:r w:rsidRPr="006F7966">
        <w:t xml:space="preserve"> se </w:t>
      </w:r>
      <w:proofErr w:type="spellStart"/>
      <w:r w:rsidRPr="006F7966">
        <w:t>sont</w:t>
      </w:r>
      <w:proofErr w:type="spellEnd"/>
      <w:r w:rsidRPr="006F7966">
        <w:t xml:space="preserve"> </w:t>
      </w:r>
      <w:proofErr w:type="spellStart"/>
      <w:r w:rsidRPr="006F7966">
        <w:t>ajoutés</w:t>
      </w:r>
      <w:proofErr w:type="spellEnd"/>
      <w:r w:rsidRPr="006F7966">
        <w:t xml:space="preserve"> les temps de mise </w:t>
      </w:r>
      <w:proofErr w:type="spellStart"/>
      <w:r w:rsidRPr="006F7966">
        <w:t>en</w:t>
      </w:r>
      <w:proofErr w:type="spellEnd"/>
      <w:r w:rsidRPr="006F7966">
        <w:t xml:space="preserve"> relation </w:t>
      </w:r>
      <w:proofErr w:type="spellStart"/>
      <w:r w:rsidRPr="006F7966">
        <w:t>autorisés</w:t>
      </w:r>
      <w:proofErr w:type="spellEnd"/>
      <w:r w:rsidRPr="006F7966">
        <w:t xml:space="preserve"> dans un cadre </w:t>
      </w:r>
      <w:proofErr w:type="spellStart"/>
      <w:r w:rsidRPr="006F7966">
        <w:t>thérapeutique</w:t>
      </w:r>
      <w:proofErr w:type="spellEnd"/>
      <w:r w:rsidRPr="006F7966">
        <w:t xml:space="preserve">, </w:t>
      </w:r>
      <w:proofErr w:type="spellStart"/>
      <w:r w:rsidRPr="006F7966">
        <w:t>jusqu’à</w:t>
      </w:r>
      <w:proofErr w:type="spellEnd"/>
      <w:r w:rsidRPr="006F7966">
        <w:t xml:space="preserve"> la levée du placement, au </w:t>
      </w:r>
      <w:proofErr w:type="spellStart"/>
      <w:r w:rsidRPr="006F7966">
        <w:t>terme</w:t>
      </w:r>
      <w:proofErr w:type="spellEnd"/>
      <w:r w:rsidRPr="006F7966">
        <w:t xml:space="preserve"> </w:t>
      </w:r>
      <w:proofErr w:type="spellStart"/>
      <w:r w:rsidRPr="006F7966">
        <w:t>d’une</w:t>
      </w:r>
      <w:proofErr w:type="spellEnd"/>
      <w:r w:rsidRPr="006F7966">
        <w:t xml:space="preserve"> prise </w:t>
      </w:r>
      <w:proofErr w:type="spellStart"/>
      <w:r w:rsidRPr="006F7966">
        <w:t>en</w:t>
      </w:r>
      <w:proofErr w:type="spellEnd"/>
      <w:r w:rsidRPr="006F7966">
        <w:t xml:space="preserve"> charge qui a </w:t>
      </w:r>
      <w:proofErr w:type="spellStart"/>
      <w:r w:rsidRPr="006F7966">
        <w:t>permis</w:t>
      </w:r>
      <w:proofErr w:type="spellEnd"/>
      <w:r w:rsidRPr="006F7966">
        <w:t xml:space="preserve"> un </w:t>
      </w:r>
      <w:proofErr w:type="spellStart"/>
      <w:r w:rsidRPr="006F7966">
        <w:t>élargissement</w:t>
      </w:r>
      <w:proofErr w:type="spellEnd"/>
      <w:r w:rsidRPr="006F7966">
        <w:t xml:space="preserve"> </w:t>
      </w:r>
      <w:proofErr w:type="spellStart"/>
      <w:r w:rsidRPr="006F7966">
        <w:t>progressif</w:t>
      </w:r>
      <w:proofErr w:type="spellEnd"/>
      <w:r w:rsidRPr="006F7966">
        <w:t xml:space="preserve"> de </w:t>
      </w:r>
      <w:proofErr w:type="spellStart"/>
      <w:r w:rsidRPr="006F7966">
        <w:t>ses</w:t>
      </w:r>
      <w:proofErr w:type="spellEnd"/>
      <w:r w:rsidRPr="006F7966">
        <w:t xml:space="preserve"> droits et, </w:t>
      </w:r>
      <w:proofErr w:type="spellStart"/>
      <w:r w:rsidRPr="006F7966">
        <w:t>finalement</w:t>
      </w:r>
      <w:proofErr w:type="spellEnd"/>
      <w:r w:rsidRPr="006F7966">
        <w:t xml:space="preserve">, </w:t>
      </w:r>
      <w:proofErr w:type="spellStart"/>
      <w:r w:rsidRPr="006F7966">
        <w:t>l’octroi</w:t>
      </w:r>
      <w:proofErr w:type="spellEnd"/>
      <w:r w:rsidRPr="006F7966">
        <w:t xml:space="preserve"> d’un droit </w:t>
      </w:r>
      <w:proofErr w:type="spellStart"/>
      <w:r w:rsidRPr="006F7966">
        <w:t>d’hébergement</w:t>
      </w:r>
      <w:proofErr w:type="spellEnd"/>
      <w:r w:rsidRPr="006F7966">
        <w:t xml:space="preserve"> (</w:t>
      </w:r>
      <w:r w:rsidRPr="006F7966">
        <w:rPr>
          <w:i/>
          <w:iCs/>
        </w:rPr>
        <w:t>idem</w:t>
      </w:r>
      <w:r w:rsidRPr="006F7966">
        <w:t xml:space="preserve">). Dans </w:t>
      </w:r>
      <w:proofErr w:type="spellStart"/>
      <w:r w:rsidRPr="006F7966">
        <w:t>ces</w:t>
      </w:r>
      <w:proofErr w:type="spellEnd"/>
      <w:r w:rsidRPr="006F7966">
        <w:t xml:space="preserve"> conditions, et </w:t>
      </w:r>
      <w:proofErr w:type="spellStart"/>
      <w:r w:rsidRPr="006F7966">
        <w:t>quelque</w:t>
      </w:r>
      <w:proofErr w:type="spellEnd"/>
      <w:r w:rsidRPr="006F7966">
        <w:t xml:space="preserve"> regrettable </w:t>
      </w:r>
      <w:proofErr w:type="spellStart"/>
      <w:r w:rsidRPr="006F7966">
        <w:t>qu’ait</w:t>
      </w:r>
      <w:proofErr w:type="spellEnd"/>
      <w:r w:rsidRPr="006F7966">
        <w:t xml:space="preserve"> </w:t>
      </w:r>
      <w:proofErr w:type="spellStart"/>
      <w:r w:rsidRPr="006F7966">
        <w:t>été</w:t>
      </w:r>
      <w:proofErr w:type="spellEnd"/>
      <w:r w:rsidRPr="006F7966">
        <w:t xml:space="preserve"> </w:t>
      </w:r>
      <w:proofErr w:type="spellStart"/>
      <w:r w:rsidRPr="006F7966">
        <w:t>l’absence</w:t>
      </w:r>
      <w:proofErr w:type="spellEnd"/>
      <w:r w:rsidRPr="006F7966">
        <w:t xml:space="preserve"> </w:t>
      </w:r>
      <w:proofErr w:type="spellStart"/>
      <w:r w:rsidRPr="006F7966">
        <w:t>d’exécution</w:t>
      </w:r>
      <w:proofErr w:type="spellEnd"/>
      <w:r w:rsidRPr="006F7966">
        <w:t xml:space="preserve"> de la </w:t>
      </w:r>
      <w:proofErr w:type="spellStart"/>
      <w:r w:rsidRPr="006F7966">
        <w:t>décision</w:t>
      </w:r>
      <w:proofErr w:type="spellEnd"/>
      <w:r w:rsidRPr="006F7966">
        <w:t xml:space="preserve"> du 7 mars 2018 (</w:t>
      </w:r>
      <w:proofErr w:type="spellStart"/>
      <w:r w:rsidRPr="006F7966">
        <w:t>voir</w:t>
      </w:r>
      <w:proofErr w:type="spellEnd"/>
      <w:r w:rsidRPr="006F7966">
        <w:t xml:space="preserve">, sur </w:t>
      </w:r>
      <w:proofErr w:type="spellStart"/>
      <w:r w:rsidRPr="006F7966">
        <w:t>ce</w:t>
      </w:r>
      <w:proofErr w:type="spellEnd"/>
      <w:r w:rsidRPr="006F7966">
        <w:t xml:space="preserve"> point, le </w:t>
      </w:r>
      <w:proofErr w:type="spellStart"/>
      <w:r w:rsidRPr="006F7966">
        <w:t>problème</w:t>
      </w:r>
      <w:proofErr w:type="spellEnd"/>
      <w:r w:rsidRPr="006F7966">
        <w:t xml:space="preserve"> </w:t>
      </w:r>
      <w:proofErr w:type="spellStart"/>
      <w:r w:rsidRPr="006F7966">
        <w:t>récurrent</w:t>
      </w:r>
      <w:proofErr w:type="spellEnd"/>
      <w:r w:rsidRPr="006F7966">
        <w:t xml:space="preserve"> de </w:t>
      </w:r>
      <w:proofErr w:type="spellStart"/>
      <w:r w:rsidRPr="006F7966">
        <w:t>l’absence</w:t>
      </w:r>
      <w:proofErr w:type="spellEnd"/>
      <w:r w:rsidRPr="006F7966">
        <w:t xml:space="preserve"> </w:t>
      </w:r>
      <w:proofErr w:type="spellStart"/>
      <w:r w:rsidRPr="006F7966">
        <w:t>d’exécution</w:t>
      </w:r>
      <w:proofErr w:type="spellEnd"/>
      <w:r w:rsidRPr="006F7966">
        <w:t xml:space="preserve"> de </w:t>
      </w:r>
      <w:proofErr w:type="spellStart"/>
      <w:r w:rsidRPr="006F7966">
        <w:t>certaines</w:t>
      </w:r>
      <w:proofErr w:type="spellEnd"/>
      <w:r w:rsidRPr="006F7966">
        <w:t xml:space="preserve"> </w:t>
      </w:r>
      <w:proofErr w:type="spellStart"/>
      <w:r w:rsidRPr="006F7966">
        <w:t>mesures</w:t>
      </w:r>
      <w:proofErr w:type="spellEnd"/>
      <w:r w:rsidRPr="006F7966">
        <w:t xml:space="preserve"> </w:t>
      </w:r>
      <w:proofErr w:type="spellStart"/>
      <w:r w:rsidRPr="006F7966">
        <w:t>ordonnées</w:t>
      </w:r>
      <w:proofErr w:type="spellEnd"/>
      <w:r w:rsidRPr="006F7966">
        <w:t xml:space="preserve"> par le JE, </w:t>
      </w:r>
      <w:proofErr w:type="spellStart"/>
      <w:r w:rsidRPr="006F7966">
        <w:t>avis</w:t>
      </w:r>
      <w:proofErr w:type="spellEnd"/>
      <w:r w:rsidRPr="006F7966">
        <w:t xml:space="preserve"> de la CNCDH, </w:t>
      </w:r>
      <w:proofErr w:type="spellStart"/>
      <w:r w:rsidRPr="006F7966">
        <w:t>paragraphe</w:t>
      </w:r>
      <w:proofErr w:type="spellEnd"/>
      <w:r w:rsidRPr="006F7966">
        <w:t xml:space="preserve"> 39 ci-dessus), la </w:t>
      </w:r>
      <w:proofErr w:type="spellStart"/>
      <w:r w:rsidRPr="006F7966">
        <w:t>Cour</w:t>
      </w:r>
      <w:proofErr w:type="spellEnd"/>
      <w:r w:rsidRPr="006F7966">
        <w:t xml:space="preserve"> </w:t>
      </w:r>
      <w:proofErr w:type="spellStart"/>
      <w:r w:rsidRPr="006F7966">
        <w:t>estime</w:t>
      </w:r>
      <w:proofErr w:type="spellEnd"/>
      <w:r w:rsidRPr="006F7966">
        <w:t xml:space="preserve"> que la </w:t>
      </w:r>
      <w:proofErr w:type="spellStart"/>
      <w:r w:rsidRPr="006F7966">
        <w:t>nécessité</w:t>
      </w:r>
      <w:proofErr w:type="spellEnd"/>
      <w:r w:rsidRPr="006F7966">
        <w:t xml:space="preserve"> de </w:t>
      </w:r>
      <w:proofErr w:type="spellStart"/>
      <w:r w:rsidRPr="006F7966">
        <w:t>maintenir</w:t>
      </w:r>
      <w:proofErr w:type="spellEnd"/>
      <w:r w:rsidRPr="006F7966">
        <w:t xml:space="preserve"> le contact entre la </w:t>
      </w:r>
      <w:proofErr w:type="spellStart"/>
      <w:r w:rsidRPr="006F7966">
        <w:t>requérante</w:t>
      </w:r>
      <w:proofErr w:type="spellEnd"/>
      <w:r w:rsidRPr="006F7966">
        <w:t xml:space="preserve"> et son enfant a </w:t>
      </w:r>
      <w:proofErr w:type="spellStart"/>
      <w:r w:rsidRPr="006F7966">
        <w:t>été</w:t>
      </w:r>
      <w:proofErr w:type="spellEnd"/>
      <w:r w:rsidRPr="006F7966">
        <w:t xml:space="preserve"> </w:t>
      </w:r>
      <w:proofErr w:type="spellStart"/>
      <w:r w:rsidRPr="006F7966">
        <w:t>une</w:t>
      </w:r>
      <w:proofErr w:type="spellEnd"/>
      <w:r w:rsidRPr="006F7966">
        <w:t xml:space="preserve"> </w:t>
      </w:r>
      <w:proofErr w:type="spellStart"/>
      <w:r w:rsidRPr="006F7966">
        <w:t>préoccupation</w:t>
      </w:r>
      <w:proofErr w:type="spellEnd"/>
      <w:r w:rsidRPr="006F7966">
        <w:t xml:space="preserve"> </w:t>
      </w:r>
      <w:proofErr w:type="spellStart"/>
      <w:r w:rsidRPr="006F7966">
        <w:t>constante</w:t>
      </w:r>
      <w:proofErr w:type="spellEnd"/>
      <w:r w:rsidRPr="006F7966">
        <w:t xml:space="preserve"> des </w:t>
      </w:r>
      <w:proofErr w:type="spellStart"/>
      <w:r w:rsidRPr="006F7966">
        <w:t>autorités</w:t>
      </w:r>
      <w:proofErr w:type="spellEnd"/>
      <w:r w:rsidRPr="006F7966">
        <w:t xml:space="preserve"> </w:t>
      </w:r>
      <w:proofErr w:type="spellStart"/>
      <w:r w:rsidRPr="006F7966">
        <w:t>compétentes</w:t>
      </w:r>
      <w:proofErr w:type="spellEnd"/>
      <w:r w:rsidRPr="006F7966">
        <w:t xml:space="preserve"> qui </w:t>
      </w:r>
      <w:proofErr w:type="spellStart"/>
      <w:r w:rsidRPr="006F7966">
        <w:t>ont</w:t>
      </w:r>
      <w:proofErr w:type="spellEnd"/>
      <w:r w:rsidRPr="006F7966">
        <w:t xml:space="preserve"> </w:t>
      </w:r>
      <w:proofErr w:type="spellStart"/>
      <w:r w:rsidRPr="006F7966">
        <w:t>déployé</w:t>
      </w:r>
      <w:proofErr w:type="spellEnd"/>
      <w:r w:rsidRPr="006F7966">
        <w:t xml:space="preserve"> des efforts </w:t>
      </w:r>
      <w:proofErr w:type="spellStart"/>
      <w:r w:rsidRPr="006F7966">
        <w:t>sérieux</w:t>
      </w:r>
      <w:proofErr w:type="spellEnd"/>
      <w:r w:rsidRPr="006F7966">
        <w:t xml:space="preserve"> et </w:t>
      </w:r>
      <w:proofErr w:type="spellStart"/>
      <w:r w:rsidRPr="006F7966">
        <w:t>soutenus</w:t>
      </w:r>
      <w:proofErr w:type="spellEnd"/>
      <w:r w:rsidRPr="006F7966">
        <w:t xml:space="preserve"> </w:t>
      </w:r>
      <w:proofErr w:type="spellStart"/>
      <w:r w:rsidRPr="006F7966">
        <w:t>en</w:t>
      </w:r>
      <w:proofErr w:type="spellEnd"/>
      <w:r w:rsidRPr="006F7966">
        <w:t xml:space="preserve"> </w:t>
      </w:r>
      <w:proofErr w:type="spellStart"/>
      <w:r w:rsidRPr="006F7966">
        <w:t>ce</w:t>
      </w:r>
      <w:proofErr w:type="spellEnd"/>
      <w:r w:rsidRPr="006F7966">
        <w:t xml:space="preserve"> </w:t>
      </w:r>
      <w:proofErr w:type="spellStart"/>
      <w:r w:rsidRPr="006F7966">
        <w:t>sens</w:t>
      </w:r>
      <w:proofErr w:type="spellEnd"/>
      <w:r w:rsidRPr="006F7966">
        <w:t xml:space="preserve"> tout </w:t>
      </w:r>
      <w:proofErr w:type="spellStart"/>
      <w:r w:rsidRPr="006F7966">
        <w:t>en</w:t>
      </w:r>
      <w:proofErr w:type="spellEnd"/>
      <w:r w:rsidRPr="006F7966">
        <w:t xml:space="preserve"> </w:t>
      </w:r>
      <w:proofErr w:type="spellStart"/>
      <w:r w:rsidRPr="006F7966">
        <w:t>ménageant</w:t>
      </w:r>
      <w:proofErr w:type="spellEnd"/>
      <w:r w:rsidRPr="006F7966">
        <w:t xml:space="preserve"> le temps </w:t>
      </w:r>
      <w:proofErr w:type="spellStart"/>
      <w:r w:rsidRPr="006F7966">
        <w:t>nécessaire</w:t>
      </w:r>
      <w:proofErr w:type="spellEnd"/>
      <w:r w:rsidRPr="006F7966">
        <w:t xml:space="preserve"> au travail </w:t>
      </w:r>
      <w:proofErr w:type="spellStart"/>
      <w:r w:rsidRPr="006F7966">
        <w:t>éducatif</w:t>
      </w:r>
      <w:proofErr w:type="spellEnd"/>
      <w:r w:rsidRPr="006F7966">
        <w:t xml:space="preserve"> (</w:t>
      </w:r>
      <w:r w:rsidRPr="006F7966">
        <w:rPr>
          <w:i/>
          <w:iCs/>
        </w:rPr>
        <w:t>a </w:t>
      </w:r>
      <w:proofErr w:type="spellStart"/>
      <w:r w:rsidRPr="006F7966">
        <w:rPr>
          <w:i/>
          <w:iCs/>
        </w:rPr>
        <w:t>contrario</w:t>
      </w:r>
      <w:proofErr w:type="spellEnd"/>
      <w:r w:rsidRPr="006F7966">
        <w:t xml:space="preserve">, par </w:t>
      </w:r>
      <w:proofErr w:type="spellStart"/>
      <w:r w:rsidRPr="006F7966">
        <w:t>exemple</w:t>
      </w:r>
      <w:proofErr w:type="spellEnd"/>
      <w:r w:rsidRPr="006F7966">
        <w:t xml:space="preserve">, </w:t>
      </w:r>
      <w:r w:rsidRPr="006F7966">
        <w:rPr>
          <w:i/>
          <w:iCs/>
        </w:rPr>
        <w:t xml:space="preserve">M.L. c. </w:t>
      </w:r>
      <w:proofErr w:type="spellStart"/>
      <w:r w:rsidRPr="006F7966">
        <w:rPr>
          <w:i/>
          <w:iCs/>
        </w:rPr>
        <w:t>Norvège</w:t>
      </w:r>
      <w:proofErr w:type="spellEnd"/>
      <w:r w:rsidRPr="006F7966">
        <w:rPr>
          <w:iCs/>
        </w:rPr>
        <w:t>, n</w:t>
      </w:r>
      <w:r w:rsidRPr="006F7966">
        <w:rPr>
          <w:iCs/>
          <w:vertAlign w:val="superscript"/>
        </w:rPr>
        <w:t>o</w:t>
      </w:r>
      <w:r w:rsidRPr="006F7966">
        <w:rPr>
          <w:iCs/>
        </w:rPr>
        <w:t> 64639/16, §§ 93 et 94, 22 </w:t>
      </w:r>
      <w:proofErr w:type="spellStart"/>
      <w:r w:rsidRPr="006F7966">
        <w:rPr>
          <w:iCs/>
        </w:rPr>
        <w:t>décembre</w:t>
      </w:r>
      <w:proofErr w:type="spellEnd"/>
      <w:r w:rsidRPr="006F7966">
        <w:rPr>
          <w:iCs/>
        </w:rPr>
        <w:t xml:space="preserve"> 2020)</w:t>
      </w:r>
      <w:r w:rsidRPr="006F7966">
        <w:t>.</w:t>
      </w:r>
    </w:p>
    <w:bookmarkEnd w:id="15"/>
    <w:p w14:paraId="7848A6E5" w14:textId="77777777" w:rsidR="00760E8D" w:rsidRPr="006F7966" w:rsidRDefault="00760E8D" w:rsidP="00760E8D">
      <w:pPr>
        <w:pStyle w:val="JuHi"/>
        <w:numPr>
          <w:ilvl w:val="0"/>
          <w:numId w:val="2"/>
        </w:numPr>
        <w:ind w:left="1021" w:hanging="341"/>
      </w:pPr>
      <w:r w:rsidRPr="006F7966">
        <w:t>Le processus décisionnel</w:t>
      </w:r>
    </w:p>
    <w:p w14:paraId="16379BA6"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63</w:t>
      </w:r>
      <w:r>
        <w:rPr>
          <w:noProof/>
        </w:rPr>
        <w:fldChar w:fldCharType="end"/>
      </w:r>
      <w:r w:rsidRPr="006F7966">
        <w:t xml:space="preserve">.  La </w:t>
      </w:r>
      <w:proofErr w:type="spellStart"/>
      <w:r w:rsidRPr="006F7966">
        <w:t>requérante</w:t>
      </w:r>
      <w:proofErr w:type="spellEnd"/>
      <w:r w:rsidRPr="006F7966">
        <w:t xml:space="preserve"> </w:t>
      </w:r>
      <w:proofErr w:type="spellStart"/>
      <w:r w:rsidRPr="006F7966">
        <w:t>conteste</w:t>
      </w:r>
      <w:proofErr w:type="spellEnd"/>
      <w:r w:rsidRPr="006F7966">
        <w:t xml:space="preserve"> la </w:t>
      </w:r>
      <w:proofErr w:type="spellStart"/>
      <w:r w:rsidRPr="006F7966">
        <w:t>qualité</w:t>
      </w:r>
      <w:proofErr w:type="spellEnd"/>
      <w:r w:rsidRPr="006F7966">
        <w:t xml:space="preserve"> du </w:t>
      </w:r>
      <w:proofErr w:type="spellStart"/>
      <w:r w:rsidRPr="006F7966">
        <w:t>processus</w:t>
      </w:r>
      <w:proofErr w:type="spellEnd"/>
      <w:r w:rsidRPr="006F7966">
        <w:t xml:space="preserve"> </w:t>
      </w:r>
      <w:proofErr w:type="spellStart"/>
      <w:r w:rsidRPr="006F7966">
        <w:t>décisionnel</w:t>
      </w:r>
      <w:proofErr w:type="spellEnd"/>
      <w:r w:rsidRPr="006F7966">
        <w:t xml:space="preserve"> qui </w:t>
      </w:r>
      <w:proofErr w:type="gramStart"/>
      <w:r w:rsidRPr="006F7966">
        <w:t>a</w:t>
      </w:r>
      <w:proofErr w:type="gramEnd"/>
      <w:r w:rsidRPr="006F7966">
        <w:t xml:space="preserve"> </w:t>
      </w:r>
      <w:proofErr w:type="spellStart"/>
      <w:r w:rsidRPr="006F7966">
        <w:t>abouti</w:t>
      </w:r>
      <w:proofErr w:type="spellEnd"/>
      <w:r w:rsidRPr="006F7966">
        <w:t xml:space="preserve"> aux </w:t>
      </w:r>
      <w:proofErr w:type="spellStart"/>
      <w:r w:rsidRPr="006F7966">
        <w:t>mesures</w:t>
      </w:r>
      <w:proofErr w:type="spellEnd"/>
      <w:r w:rsidRPr="006F7966">
        <w:t xml:space="preserve"> </w:t>
      </w:r>
      <w:proofErr w:type="spellStart"/>
      <w:r w:rsidRPr="006F7966">
        <w:t>litigieuses</w:t>
      </w:r>
      <w:proofErr w:type="spellEnd"/>
      <w:r w:rsidRPr="006F7966">
        <w:t xml:space="preserve"> </w:t>
      </w:r>
      <w:proofErr w:type="spellStart"/>
      <w:r w:rsidRPr="006F7966">
        <w:t>en</w:t>
      </w:r>
      <w:proofErr w:type="spellEnd"/>
      <w:r w:rsidRPr="006F7966">
        <w:t xml:space="preserve"> </w:t>
      </w:r>
      <w:proofErr w:type="spellStart"/>
      <w:r w:rsidRPr="006F7966">
        <w:t>soutenant</w:t>
      </w:r>
      <w:proofErr w:type="spellEnd"/>
      <w:r w:rsidRPr="006F7966">
        <w:t xml:space="preserve"> </w:t>
      </w:r>
      <w:proofErr w:type="spellStart"/>
      <w:r w:rsidRPr="006F7966">
        <w:t>en</w:t>
      </w:r>
      <w:proofErr w:type="spellEnd"/>
      <w:r w:rsidRPr="006F7966">
        <w:t xml:space="preserve"> particulier que </w:t>
      </w:r>
      <w:proofErr w:type="spellStart"/>
      <w:r w:rsidRPr="006F7966">
        <w:t>celui</w:t>
      </w:r>
      <w:proofErr w:type="spellEnd"/>
      <w:r w:rsidRPr="006F7966">
        <w:t xml:space="preserve">-ci ne </w:t>
      </w:r>
      <w:proofErr w:type="spellStart"/>
      <w:r w:rsidRPr="006F7966">
        <w:t>lui</w:t>
      </w:r>
      <w:proofErr w:type="spellEnd"/>
      <w:r w:rsidRPr="006F7966">
        <w:t xml:space="preserve"> a pas </w:t>
      </w:r>
      <w:proofErr w:type="spellStart"/>
      <w:r w:rsidRPr="006F7966">
        <w:t>permis</w:t>
      </w:r>
      <w:proofErr w:type="spellEnd"/>
      <w:r w:rsidRPr="006F7966">
        <w:t xml:space="preserve"> de faire </w:t>
      </w:r>
      <w:proofErr w:type="spellStart"/>
      <w:r w:rsidRPr="006F7966">
        <w:t>valoir</w:t>
      </w:r>
      <w:proofErr w:type="spellEnd"/>
      <w:r w:rsidRPr="006F7966">
        <w:t xml:space="preserve"> </w:t>
      </w:r>
      <w:proofErr w:type="spellStart"/>
      <w:r w:rsidRPr="006F7966">
        <w:t>pleinement</w:t>
      </w:r>
      <w:proofErr w:type="spellEnd"/>
      <w:r w:rsidRPr="006F7966">
        <w:t xml:space="preserve"> </w:t>
      </w:r>
      <w:proofErr w:type="spellStart"/>
      <w:r w:rsidRPr="006F7966">
        <w:t>ses</w:t>
      </w:r>
      <w:proofErr w:type="spellEnd"/>
      <w:r w:rsidRPr="006F7966">
        <w:t xml:space="preserve"> droits.</w:t>
      </w:r>
    </w:p>
    <w:bookmarkStart w:id="16" w:name="_Hlk87267090"/>
    <w:p w14:paraId="6E5AFDE7" w14:textId="77777777" w:rsidR="00760E8D" w:rsidRPr="006F7966" w:rsidRDefault="00760E8D" w:rsidP="00760E8D">
      <w:pPr>
        <w:pStyle w:val="ECHRPara"/>
      </w:pPr>
      <w:r w:rsidRPr="006F7966">
        <w:fldChar w:fldCharType="begin"/>
      </w:r>
      <w:r w:rsidRPr="006F7966">
        <w:instrText xml:space="preserve"> SEQ level0 \*arabic \* MERGEFORMAT </w:instrText>
      </w:r>
      <w:r w:rsidRPr="006F7966">
        <w:fldChar w:fldCharType="separate"/>
      </w:r>
      <w:r w:rsidRPr="006F7966">
        <w:rPr>
          <w:noProof/>
        </w:rPr>
        <w:t>64</w:t>
      </w:r>
      <w:r w:rsidRPr="006F7966">
        <w:fldChar w:fldCharType="end"/>
      </w:r>
      <w:r w:rsidRPr="006F7966">
        <w:t xml:space="preserve">.  À </w:t>
      </w:r>
      <w:proofErr w:type="spellStart"/>
      <w:r w:rsidRPr="006F7966">
        <w:t>ce</w:t>
      </w:r>
      <w:proofErr w:type="spellEnd"/>
      <w:r w:rsidRPr="006F7966">
        <w:t xml:space="preserve"> titre, </w:t>
      </w:r>
      <w:proofErr w:type="spellStart"/>
      <w:r w:rsidRPr="006F7966">
        <w:t>elle</w:t>
      </w:r>
      <w:proofErr w:type="spellEnd"/>
      <w:r w:rsidRPr="006F7966">
        <w:t xml:space="preserve"> met </w:t>
      </w:r>
      <w:proofErr w:type="spellStart"/>
      <w:r w:rsidRPr="006F7966">
        <w:t>en</w:t>
      </w:r>
      <w:proofErr w:type="spellEnd"/>
      <w:r w:rsidRPr="006F7966">
        <w:t xml:space="preserve"> cause la barrière de la langue et le </w:t>
      </w:r>
      <w:proofErr w:type="spellStart"/>
      <w:r w:rsidRPr="006F7966">
        <w:t>défaut</w:t>
      </w:r>
      <w:proofErr w:type="spellEnd"/>
      <w:r w:rsidRPr="006F7966">
        <w:t xml:space="preserve"> </w:t>
      </w:r>
      <w:proofErr w:type="spellStart"/>
      <w:r w:rsidRPr="006F7966">
        <w:t>d’interprétariat</w:t>
      </w:r>
      <w:proofErr w:type="spellEnd"/>
      <w:r w:rsidRPr="006F7966">
        <w:t xml:space="preserve"> dans le cadre du travail </w:t>
      </w:r>
      <w:proofErr w:type="spellStart"/>
      <w:r w:rsidRPr="006F7966">
        <w:t>éducatif</w:t>
      </w:r>
      <w:proofErr w:type="spellEnd"/>
      <w:r w:rsidRPr="006F7966">
        <w:t xml:space="preserve">. Il </w:t>
      </w:r>
      <w:proofErr w:type="spellStart"/>
      <w:r w:rsidRPr="006F7966">
        <w:t>incombe</w:t>
      </w:r>
      <w:proofErr w:type="spellEnd"/>
      <w:r w:rsidRPr="006F7966">
        <w:t xml:space="preserve"> </w:t>
      </w:r>
      <w:proofErr w:type="spellStart"/>
      <w:r w:rsidRPr="006F7966">
        <w:t>en</w:t>
      </w:r>
      <w:proofErr w:type="spellEnd"/>
      <w:r w:rsidRPr="006F7966">
        <w:t xml:space="preserve"> </w:t>
      </w:r>
      <w:proofErr w:type="spellStart"/>
      <w:r w:rsidRPr="006F7966">
        <w:t>effet</w:t>
      </w:r>
      <w:proofErr w:type="spellEnd"/>
      <w:r w:rsidRPr="006F7966">
        <w:t xml:space="preserve"> aux </w:t>
      </w:r>
      <w:proofErr w:type="spellStart"/>
      <w:r w:rsidRPr="006F7966">
        <w:t>autorités</w:t>
      </w:r>
      <w:proofErr w:type="spellEnd"/>
      <w:r w:rsidRPr="006F7966">
        <w:t xml:space="preserve"> </w:t>
      </w:r>
      <w:proofErr w:type="spellStart"/>
      <w:r w:rsidRPr="006F7966">
        <w:t>compétentes</w:t>
      </w:r>
      <w:proofErr w:type="spellEnd"/>
      <w:r w:rsidRPr="006F7966">
        <w:t xml:space="preserve"> de </w:t>
      </w:r>
      <w:proofErr w:type="spellStart"/>
      <w:r w:rsidRPr="006F7966">
        <w:t>s’assurer</w:t>
      </w:r>
      <w:proofErr w:type="spellEnd"/>
      <w:r w:rsidRPr="006F7966">
        <w:t xml:space="preserve"> que </w:t>
      </w:r>
      <w:proofErr w:type="spellStart"/>
      <w:r w:rsidRPr="006F7966">
        <w:t>ce</w:t>
      </w:r>
      <w:proofErr w:type="spellEnd"/>
      <w:r w:rsidRPr="006F7966">
        <w:t xml:space="preserve"> travail se </w:t>
      </w:r>
      <w:proofErr w:type="spellStart"/>
      <w:r w:rsidRPr="006F7966">
        <w:t>déroule</w:t>
      </w:r>
      <w:proofErr w:type="spellEnd"/>
      <w:r w:rsidRPr="006F7966">
        <w:t xml:space="preserve"> dans </w:t>
      </w:r>
      <w:proofErr w:type="spellStart"/>
      <w:r w:rsidRPr="006F7966">
        <w:t>une</w:t>
      </w:r>
      <w:proofErr w:type="spellEnd"/>
      <w:r w:rsidRPr="006F7966">
        <w:t xml:space="preserve"> langue que les parents </w:t>
      </w:r>
      <w:proofErr w:type="spellStart"/>
      <w:r w:rsidRPr="006F7966">
        <w:t>comprennent</w:t>
      </w:r>
      <w:proofErr w:type="spellEnd"/>
      <w:r w:rsidRPr="006F7966">
        <w:t xml:space="preserve">. Dans la </w:t>
      </w:r>
      <w:proofErr w:type="spellStart"/>
      <w:r w:rsidRPr="006F7966">
        <w:t>présente</w:t>
      </w:r>
      <w:proofErr w:type="spellEnd"/>
      <w:r w:rsidRPr="006F7966">
        <w:t xml:space="preserve"> </w:t>
      </w:r>
      <w:proofErr w:type="spellStart"/>
      <w:r w:rsidRPr="006F7966">
        <w:t>affaire</w:t>
      </w:r>
      <w:proofErr w:type="spellEnd"/>
      <w:r w:rsidRPr="006F7966">
        <w:t xml:space="preserve">, la </w:t>
      </w:r>
      <w:proofErr w:type="spellStart"/>
      <w:r w:rsidRPr="006F7966">
        <w:t>Cour</w:t>
      </w:r>
      <w:proofErr w:type="spellEnd"/>
      <w:r w:rsidRPr="006F7966">
        <w:t xml:space="preserve"> </w:t>
      </w:r>
      <w:proofErr w:type="spellStart"/>
      <w:r w:rsidRPr="006F7966">
        <w:t>relève</w:t>
      </w:r>
      <w:proofErr w:type="spellEnd"/>
      <w:r w:rsidRPr="006F7966">
        <w:t xml:space="preserve"> que des efforts </w:t>
      </w:r>
      <w:proofErr w:type="spellStart"/>
      <w:r w:rsidRPr="006F7966">
        <w:t>ont</w:t>
      </w:r>
      <w:proofErr w:type="spellEnd"/>
      <w:r w:rsidRPr="006F7966">
        <w:t xml:space="preserve"> </w:t>
      </w:r>
      <w:proofErr w:type="spellStart"/>
      <w:r w:rsidRPr="006F7966">
        <w:t>été</w:t>
      </w:r>
      <w:proofErr w:type="spellEnd"/>
      <w:r w:rsidRPr="006F7966">
        <w:t xml:space="preserve"> faits pour que </w:t>
      </w:r>
      <w:proofErr w:type="spellStart"/>
      <w:r w:rsidRPr="006F7966">
        <w:t>tel</w:t>
      </w:r>
      <w:proofErr w:type="spellEnd"/>
      <w:r w:rsidRPr="006F7966">
        <w:t xml:space="preserve"> </w:t>
      </w:r>
      <w:proofErr w:type="spellStart"/>
      <w:r w:rsidRPr="006F7966">
        <w:t>soit</w:t>
      </w:r>
      <w:proofErr w:type="spellEnd"/>
      <w:r w:rsidRPr="006F7966">
        <w:t xml:space="preserve"> le </w:t>
      </w:r>
      <w:proofErr w:type="spellStart"/>
      <w:r w:rsidRPr="006F7966">
        <w:t>cas</w:t>
      </w:r>
      <w:proofErr w:type="spellEnd"/>
      <w:r w:rsidRPr="006F7966">
        <w:t xml:space="preserve">, des </w:t>
      </w:r>
      <w:proofErr w:type="spellStart"/>
      <w:r w:rsidRPr="006F7966">
        <w:t>réajustements</w:t>
      </w:r>
      <w:proofErr w:type="spellEnd"/>
      <w:r w:rsidRPr="006F7966">
        <w:t xml:space="preserve"> </w:t>
      </w:r>
      <w:proofErr w:type="spellStart"/>
      <w:r w:rsidRPr="006F7966">
        <w:t>ayant</w:t>
      </w:r>
      <w:proofErr w:type="spellEnd"/>
      <w:r w:rsidRPr="006F7966">
        <w:t xml:space="preserve"> </w:t>
      </w:r>
      <w:proofErr w:type="spellStart"/>
      <w:r w:rsidRPr="006F7966">
        <w:t>dû</w:t>
      </w:r>
      <w:proofErr w:type="spellEnd"/>
      <w:r w:rsidRPr="006F7966">
        <w:t xml:space="preserve"> </w:t>
      </w:r>
      <w:proofErr w:type="spellStart"/>
      <w:r w:rsidRPr="006F7966">
        <w:t>être</w:t>
      </w:r>
      <w:proofErr w:type="spellEnd"/>
      <w:r w:rsidRPr="006F7966">
        <w:t xml:space="preserve"> </w:t>
      </w:r>
      <w:proofErr w:type="spellStart"/>
      <w:r w:rsidRPr="006F7966">
        <w:t>opérés</w:t>
      </w:r>
      <w:proofErr w:type="spellEnd"/>
      <w:r w:rsidRPr="006F7966">
        <w:t xml:space="preserve"> à </w:t>
      </w:r>
      <w:proofErr w:type="spellStart"/>
      <w:r w:rsidRPr="006F7966">
        <w:t>certains</w:t>
      </w:r>
      <w:proofErr w:type="spellEnd"/>
      <w:r w:rsidRPr="006F7966">
        <w:t xml:space="preserve"> moments </w:t>
      </w:r>
      <w:proofErr w:type="spellStart"/>
      <w:r w:rsidRPr="006F7966">
        <w:t>afin</w:t>
      </w:r>
      <w:proofErr w:type="spellEnd"/>
      <w:r w:rsidRPr="006F7966">
        <w:t xml:space="preserve"> </w:t>
      </w:r>
      <w:proofErr w:type="spellStart"/>
      <w:r w:rsidRPr="006F7966">
        <w:t>d’orienter</w:t>
      </w:r>
      <w:proofErr w:type="spellEnd"/>
      <w:r w:rsidRPr="006F7966">
        <w:t xml:space="preserve"> la </w:t>
      </w:r>
      <w:proofErr w:type="spellStart"/>
      <w:r w:rsidRPr="006F7966">
        <w:t>requérante</w:t>
      </w:r>
      <w:proofErr w:type="spellEnd"/>
      <w:r w:rsidRPr="006F7966">
        <w:t xml:space="preserve"> </w:t>
      </w:r>
      <w:proofErr w:type="spellStart"/>
      <w:r w:rsidRPr="006F7966">
        <w:t>vers</w:t>
      </w:r>
      <w:proofErr w:type="spellEnd"/>
      <w:r w:rsidRPr="006F7966">
        <w:t xml:space="preserve"> des structures </w:t>
      </w:r>
      <w:proofErr w:type="spellStart"/>
      <w:r w:rsidRPr="006F7966">
        <w:t>comprenant</w:t>
      </w:r>
      <w:proofErr w:type="spellEnd"/>
      <w:r w:rsidRPr="006F7966">
        <w:t xml:space="preserve"> des </w:t>
      </w:r>
      <w:proofErr w:type="spellStart"/>
      <w:r w:rsidRPr="006F7966">
        <w:t>personnels</w:t>
      </w:r>
      <w:proofErr w:type="spellEnd"/>
      <w:r w:rsidRPr="006F7966">
        <w:t xml:space="preserve"> </w:t>
      </w:r>
      <w:proofErr w:type="spellStart"/>
      <w:r w:rsidRPr="006F7966">
        <w:t>maîtrisant</w:t>
      </w:r>
      <w:proofErr w:type="spellEnd"/>
      <w:r w:rsidRPr="006F7966">
        <w:t xml:space="preserve"> la langue russe (</w:t>
      </w:r>
      <w:proofErr w:type="spellStart"/>
      <w:r w:rsidRPr="006F7966">
        <w:t>paragraphes</w:t>
      </w:r>
      <w:proofErr w:type="spellEnd"/>
      <w:r w:rsidRPr="006F7966">
        <w:t xml:space="preserve"> 21, 22, 23, 24, 26 et 29 ci-dessus). La </w:t>
      </w:r>
      <w:proofErr w:type="spellStart"/>
      <w:r w:rsidRPr="006F7966">
        <w:t>Cour</w:t>
      </w:r>
      <w:proofErr w:type="spellEnd"/>
      <w:r w:rsidRPr="006F7966">
        <w:t xml:space="preserve"> </w:t>
      </w:r>
      <w:proofErr w:type="spellStart"/>
      <w:r w:rsidRPr="006F7966">
        <w:t>relève</w:t>
      </w:r>
      <w:proofErr w:type="spellEnd"/>
      <w:r w:rsidRPr="006F7966">
        <w:t xml:space="preserve"> </w:t>
      </w:r>
      <w:proofErr w:type="spellStart"/>
      <w:r w:rsidRPr="006F7966">
        <w:t>en</w:t>
      </w:r>
      <w:proofErr w:type="spellEnd"/>
      <w:r w:rsidRPr="006F7966">
        <w:t xml:space="preserve"> </w:t>
      </w:r>
      <w:proofErr w:type="spellStart"/>
      <w:r w:rsidRPr="006F7966">
        <w:t>outre</w:t>
      </w:r>
      <w:proofErr w:type="spellEnd"/>
      <w:r w:rsidRPr="006F7966">
        <w:t xml:space="preserve"> que </w:t>
      </w:r>
      <w:proofErr w:type="spellStart"/>
      <w:r w:rsidRPr="006F7966">
        <w:t>si</w:t>
      </w:r>
      <w:proofErr w:type="spellEnd"/>
      <w:r w:rsidRPr="006F7966">
        <w:t xml:space="preserve"> les </w:t>
      </w:r>
      <w:proofErr w:type="spellStart"/>
      <w:r w:rsidRPr="006F7966">
        <w:t>juridictions</w:t>
      </w:r>
      <w:proofErr w:type="spellEnd"/>
      <w:r w:rsidRPr="006F7966">
        <w:t xml:space="preserve"> internes </w:t>
      </w:r>
      <w:proofErr w:type="spellStart"/>
      <w:r w:rsidRPr="006F7966">
        <w:t>ont</w:t>
      </w:r>
      <w:proofErr w:type="spellEnd"/>
      <w:r w:rsidRPr="006F7966">
        <w:t xml:space="preserve"> </w:t>
      </w:r>
      <w:proofErr w:type="spellStart"/>
      <w:r w:rsidRPr="006F7966">
        <w:t>souligné</w:t>
      </w:r>
      <w:proofErr w:type="spellEnd"/>
      <w:r w:rsidRPr="006F7966">
        <w:t xml:space="preserve"> les </w:t>
      </w:r>
      <w:proofErr w:type="spellStart"/>
      <w:r w:rsidRPr="006F7966">
        <w:t>difficultés</w:t>
      </w:r>
      <w:proofErr w:type="spellEnd"/>
      <w:r w:rsidRPr="006F7966">
        <w:t xml:space="preserve"> </w:t>
      </w:r>
      <w:proofErr w:type="spellStart"/>
      <w:r w:rsidRPr="006F7966">
        <w:t>liées</w:t>
      </w:r>
      <w:proofErr w:type="spellEnd"/>
      <w:r w:rsidRPr="006F7966">
        <w:t xml:space="preserve"> à la barrière de la langue, </w:t>
      </w:r>
      <w:proofErr w:type="spellStart"/>
      <w:r w:rsidRPr="006F7966">
        <w:t>elles</w:t>
      </w:r>
      <w:proofErr w:type="spellEnd"/>
      <w:r w:rsidRPr="006F7966">
        <w:t xml:space="preserve"> </w:t>
      </w:r>
      <w:proofErr w:type="spellStart"/>
      <w:r w:rsidRPr="006F7966">
        <w:t>ont</w:t>
      </w:r>
      <w:proofErr w:type="spellEnd"/>
      <w:r w:rsidRPr="006F7966">
        <w:t xml:space="preserve"> pris </w:t>
      </w:r>
      <w:proofErr w:type="spellStart"/>
      <w:r w:rsidRPr="006F7966">
        <w:t>en</w:t>
      </w:r>
      <w:proofErr w:type="spellEnd"/>
      <w:r w:rsidRPr="006F7966">
        <w:t xml:space="preserve"> </w:t>
      </w:r>
      <w:proofErr w:type="spellStart"/>
      <w:r w:rsidRPr="006F7966">
        <w:t>compte</w:t>
      </w:r>
      <w:proofErr w:type="spellEnd"/>
      <w:r w:rsidRPr="006F7966">
        <w:t xml:space="preserve"> </w:t>
      </w:r>
      <w:proofErr w:type="spellStart"/>
      <w:r w:rsidRPr="006F7966">
        <w:t>également</w:t>
      </w:r>
      <w:proofErr w:type="spellEnd"/>
      <w:r w:rsidRPr="006F7966">
        <w:t xml:space="preserve"> le fait que </w:t>
      </w:r>
      <w:proofErr w:type="spellStart"/>
      <w:r w:rsidRPr="006F7966">
        <w:t>celle</w:t>
      </w:r>
      <w:proofErr w:type="spellEnd"/>
      <w:r w:rsidRPr="006F7966">
        <w:t xml:space="preserve">-ci </w:t>
      </w:r>
      <w:proofErr w:type="spellStart"/>
      <w:r w:rsidRPr="006F7966">
        <w:t>n’a</w:t>
      </w:r>
      <w:proofErr w:type="spellEnd"/>
      <w:r w:rsidRPr="006F7966">
        <w:t xml:space="preserve"> jamais </w:t>
      </w:r>
      <w:proofErr w:type="spellStart"/>
      <w:r w:rsidRPr="006F7966">
        <w:t>été</w:t>
      </w:r>
      <w:proofErr w:type="spellEnd"/>
      <w:r w:rsidRPr="006F7966">
        <w:t xml:space="preserve"> </w:t>
      </w:r>
      <w:proofErr w:type="spellStart"/>
      <w:r w:rsidRPr="006F7966">
        <w:t>considérée</w:t>
      </w:r>
      <w:proofErr w:type="spellEnd"/>
      <w:r w:rsidRPr="006F7966">
        <w:t xml:space="preserve"> par les </w:t>
      </w:r>
      <w:proofErr w:type="spellStart"/>
      <w:r w:rsidRPr="006F7966">
        <w:t>professionnels</w:t>
      </w:r>
      <w:proofErr w:type="spellEnd"/>
      <w:r w:rsidRPr="006F7966">
        <w:t xml:space="preserve"> </w:t>
      </w:r>
      <w:proofErr w:type="spellStart"/>
      <w:r w:rsidRPr="006F7966">
        <w:t>en</w:t>
      </w:r>
      <w:proofErr w:type="spellEnd"/>
      <w:r w:rsidRPr="006F7966">
        <w:t xml:space="preserve"> charge du travail </w:t>
      </w:r>
      <w:proofErr w:type="spellStart"/>
      <w:r w:rsidRPr="006F7966">
        <w:t>éducatif</w:t>
      </w:r>
      <w:proofErr w:type="spellEnd"/>
      <w:r w:rsidRPr="006F7966">
        <w:t xml:space="preserve"> </w:t>
      </w:r>
      <w:proofErr w:type="spellStart"/>
      <w:r w:rsidRPr="006F7966">
        <w:t>comme</w:t>
      </w:r>
      <w:proofErr w:type="spellEnd"/>
      <w:r w:rsidRPr="006F7966">
        <w:t xml:space="preserve"> un obstacle de nature à </w:t>
      </w:r>
      <w:proofErr w:type="spellStart"/>
      <w:r w:rsidRPr="006F7966">
        <w:t>en</w:t>
      </w:r>
      <w:proofErr w:type="spellEnd"/>
      <w:r w:rsidRPr="006F7966">
        <w:t xml:space="preserve"> </w:t>
      </w:r>
      <w:proofErr w:type="spellStart"/>
      <w:r w:rsidRPr="006F7966">
        <w:t>compromettre</w:t>
      </w:r>
      <w:proofErr w:type="spellEnd"/>
      <w:r w:rsidRPr="006F7966">
        <w:t xml:space="preserve"> les chances de succès (</w:t>
      </w:r>
      <w:proofErr w:type="spellStart"/>
      <w:r w:rsidRPr="006F7966">
        <w:t>paragraphes</w:t>
      </w:r>
      <w:proofErr w:type="spellEnd"/>
      <w:r w:rsidRPr="006F7966">
        <w:t> 16, 23 et 31 ci-dessus).</w:t>
      </w:r>
    </w:p>
    <w:bookmarkEnd w:id="16"/>
    <w:p w14:paraId="33CB7583" w14:textId="77777777" w:rsidR="00760E8D" w:rsidRPr="006F7966" w:rsidRDefault="00760E8D" w:rsidP="00760E8D">
      <w:pPr>
        <w:pStyle w:val="ECHRPara"/>
      </w:pPr>
      <w:r w:rsidRPr="006F7966">
        <w:fldChar w:fldCharType="begin"/>
      </w:r>
      <w:r w:rsidRPr="006F7966">
        <w:instrText xml:space="preserve"> SEQ level0 \*arabic \* MERGEFORMAT </w:instrText>
      </w:r>
      <w:r w:rsidRPr="006F7966">
        <w:fldChar w:fldCharType="separate"/>
      </w:r>
      <w:r w:rsidRPr="006F7966">
        <w:rPr>
          <w:noProof/>
        </w:rPr>
        <w:t>65</w:t>
      </w:r>
      <w:r w:rsidRPr="006F7966">
        <w:fldChar w:fldCharType="end"/>
      </w:r>
      <w:r w:rsidRPr="006F7966">
        <w:t xml:space="preserve">.  La </w:t>
      </w:r>
      <w:proofErr w:type="spellStart"/>
      <w:r w:rsidRPr="006F7966">
        <w:t>requérante</w:t>
      </w:r>
      <w:proofErr w:type="spellEnd"/>
      <w:r w:rsidRPr="006F7966">
        <w:t xml:space="preserve">, se </w:t>
      </w:r>
      <w:proofErr w:type="spellStart"/>
      <w:r w:rsidRPr="006F7966">
        <w:t>réclamant</w:t>
      </w:r>
      <w:proofErr w:type="spellEnd"/>
      <w:r w:rsidRPr="006F7966">
        <w:t xml:space="preserve"> sur </w:t>
      </w:r>
      <w:proofErr w:type="spellStart"/>
      <w:r w:rsidRPr="006F7966">
        <w:t>ce</w:t>
      </w:r>
      <w:proofErr w:type="spellEnd"/>
      <w:r w:rsidRPr="006F7966">
        <w:t xml:space="preserve"> point de </w:t>
      </w:r>
      <w:proofErr w:type="spellStart"/>
      <w:r w:rsidRPr="006F7966">
        <w:t>l’avis</w:t>
      </w:r>
      <w:proofErr w:type="spellEnd"/>
      <w:r w:rsidRPr="006F7966">
        <w:t xml:space="preserve"> de la CNCDH </w:t>
      </w:r>
      <w:proofErr w:type="spellStart"/>
      <w:r w:rsidRPr="006F7966">
        <w:t>précité</w:t>
      </w:r>
      <w:proofErr w:type="spellEnd"/>
      <w:r w:rsidRPr="006F7966">
        <w:t xml:space="preserve">, </w:t>
      </w:r>
      <w:proofErr w:type="spellStart"/>
      <w:r w:rsidRPr="006F7966">
        <w:t>invoque</w:t>
      </w:r>
      <w:proofErr w:type="spellEnd"/>
      <w:r w:rsidRPr="006F7966">
        <w:t xml:space="preserve"> </w:t>
      </w:r>
      <w:proofErr w:type="spellStart"/>
      <w:r w:rsidRPr="006F7966">
        <w:t>également</w:t>
      </w:r>
      <w:proofErr w:type="spellEnd"/>
      <w:r w:rsidRPr="006F7966">
        <w:t xml:space="preserve"> la </w:t>
      </w:r>
      <w:proofErr w:type="spellStart"/>
      <w:r w:rsidRPr="006F7966">
        <w:t>circonstance</w:t>
      </w:r>
      <w:proofErr w:type="spellEnd"/>
      <w:r w:rsidRPr="006F7966">
        <w:t xml:space="preserve"> que le premier rapport de </w:t>
      </w:r>
      <w:proofErr w:type="spellStart"/>
      <w:r w:rsidRPr="006F7966">
        <w:t>l’ASE</w:t>
      </w:r>
      <w:proofErr w:type="spellEnd"/>
      <w:r w:rsidRPr="006F7966">
        <w:t xml:space="preserve"> a </w:t>
      </w:r>
      <w:proofErr w:type="spellStart"/>
      <w:r w:rsidRPr="006F7966">
        <w:t>été</w:t>
      </w:r>
      <w:proofErr w:type="spellEnd"/>
      <w:r w:rsidRPr="006F7966">
        <w:t xml:space="preserve"> </w:t>
      </w:r>
      <w:proofErr w:type="spellStart"/>
      <w:r w:rsidRPr="006F7966">
        <w:t>déposé</w:t>
      </w:r>
      <w:proofErr w:type="spellEnd"/>
      <w:r w:rsidRPr="006F7966">
        <w:t xml:space="preserve"> la </w:t>
      </w:r>
      <w:proofErr w:type="spellStart"/>
      <w:r w:rsidRPr="006F7966">
        <w:t>veille</w:t>
      </w:r>
      <w:proofErr w:type="spellEnd"/>
      <w:r w:rsidRPr="006F7966">
        <w:t xml:space="preserve"> de </w:t>
      </w:r>
      <w:proofErr w:type="spellStart"/>
      <w:r w:rsidRPr="006F7966">
        <w:t>l’audience</w:t>
      </w:r>
      <w:proofErr w:type="spellEnd"/>
      <w:r w:rsidRPr="006F7966">
        <w:t xml:space="preserve"> </w:t>
      </w:r>
      <w:proofErr w:type="spellStart"/>
      <w:r w:rsidRPr="006F7966">
        <w:t>prévue</w:t>
      </w:r>
      <w:proofErr w:type="spellEnd"/>
      <w:r w:rsidRPr="006F7966">
        <w:t xml:space="preserve"> pour </w:t>
      </w:r>
      <w:proofErr w:type="spellStart"/>
      <w:r w:rsidRPr="006F7966">
        <w:t>décider</w:t>
      </w:r>
      <w:proofErr w:type="spellEnd"/>
      <w:r w:rsidRPr="006F7966">
        <w:t xml:space="preserve"> du </w:t>
      </w:r>
      <w:proofErr w:type="spellStart"/>
      <w:r w:rsidRPr="006F7966">
        <w:t>renouvellement</w:t>
      </w:r>
      <w:proofErr w:type="spellEnd"/>
      <w:r w:rsidRPr="006F7966">
        <w:t xml:space="preserve"> </w:t>
      </w:r>
      <w:proofErr w:type="spellStart"/>
      <w:r w:rsidRPr="006F7966">
        <w:t>ou</w:t>
      </w:r>
      <w:proofErr w:type="spellEnd"/>
      <w:r w:rsidRPr="006F7966">
        <w:t xml:space="preserve"> non de la </w:t>
      </w:r>
      <w:proofErr w:type="spellStart"/>
      <w:r w:rsidRPr="006F7966">
        <w:t>mesure</w:t>
      </w:r>
      <w:proofErr w:type="spellEnd"/>
      <w:r w:rsidRPr="006F7966">
        <w:t xml:space="preserve"> </w:t>
      </w:r>
      <w:proofErr w:type="spellStart"/>
      <w:r w:rsidRPr="006F7966">
        <w:t>provisoire</w:t>
      </w:r>
      <w:proofErr w:type="spellEnd"/>
      <w:r w:rsidRPr="006F7966">
        <w:t xml:space="preserve"> de placement, </w:t>
      </w:r>
      <w:proofErr w:type="spellStart"/>
      <w:r w:rsidRPr="006F7966">
        <w:t>ce</w:t>
      </w:r>
      <w:proofErr w:type="spellEnd"/>
      <w:r w:rsidRPr="006F7966">
        <w:t xml:space="preserve"> qui </w:t>
      </w:r>
      <w:proofErr w:type="spellStart"/>
      <w:r w:rsidRPr="006F7966">
        <w:t>aurait</w:t>
      </w:r>
      <w:proofErr w:type="spellEnd"/>
      <w:r w:rsidRPr="006F7966">
        <w:t xml:space="preserve"> </w:t>
      </w:r>
      <w:proofErr w:type="spellStart"/>
      <w:r w:rsidRPr="006F7966">
        <w:t>compromis</w:t>
      </w:r>
      <w:proofErr w:type="spellEnd"/>
      <w:r w:rsidRPr="006F7966">
        <w:t xml:space="preserve"> la </w:t>
      </w:r>
      <w:proofErr w:type="spellStart"/>
      <w:r w:rsidRPr="006F7966">
        <w:t>possibilité</w:t>
      </w:r>
      <w:proofErr w:type="spellEnd"/>
      <w:r w:rsidRPr="006F7966">
        <w:t xml:space="preserve"> de faire </w:t>
      </w:r>
      <w:proofErr w:type="spellStart"/>
      <w:r w:rsidRPr="006F7966">
        <w:t>utilement</w:t>
      </w:r>
      <w:proofErr w:type="spellEnd"/>
      <w:r w:rsidRPr="006F7966">
        <w:t xml:space="preserve"> </w:t>
      </w:r>
      <w:proofErr w:type="spellStart"/>
      <w:r w:rsidRPr="006F7966">
        <w:t>valoir</w:t>
      </w:r>
      <w:proofErr w:type="spellEnd"/>
      <w:r w:rsidRPr="006F7966">
        <w:t xml:space="preserve"> </w:t>
      </w:r>
      <w:proofErr w:type="spellStart"/>
      <w:r w:rsidRPr="006F7966">
        <w:t>ses</w:t>
      </w:r>
      <w:proofErr w:type="spellEnd"/>
      <w:r w:rsidRPr="006F7966">
        <w:t xml:space="preserve"> </w:t>
      </w:r>
      <w:proofErr w:type="spellStart"/>
      <w:r w:rsidRPr="006F7966">
        <w:t>intérêts</w:t>
      </w:r>
      <w:proofErr w:type="spellEnd"/>
      <w:r w:rsidRPr="006F7966">
        <w:t xml:space="preserve">. Pour regrettable que </w:t>
      </w:r>
      <w:proofErr w:type="spellStart"/>
      <w:r w:rsidRPr="006F7966">
        <w:t>soit</w:t>
      </w:r>
      <w:proofErr w:type="spellEnd"/>
      <w:r w:rsidRPr="006F7966">
        <w:t xml:space="preserve"> </w:t>
      </w:r>
      <w:proofErr w:type="spellStart"/>
      <w:r w:rsidRPr="006F7966">
        <w:t>ce</w:t>
      </w:r>
      <w:proofErr w:type="spellEnd"/>
      <w:r w:rsidRPr="006F7966">
        <w:t xml:space="preserve"> </w:t>
      </w:r>
      <w:proofErr w:type="spellStart"/>
      <w:r w:rsidRPr="006F7966">
        <w:t>bref</w:t>
      </w:r>
      <w:proofErr w:type="spellEnd"/>
      <w:r w:rsidRPr="006F7966">
        <w:t xml:space="preserve"> </w:t>
      </w:r>
      <w:proofErr w:type="spellStart"/>
      <w:r w:rsidRPr="006F7966">
        <w:t>délai</w:t>
      </w:r>
      <w:proofErr w:type="spellEnd"/>
      <w:r w:rsidRPr="006F7966">
        <w:t xml:space="preserve">, </w:t>
      </w:r>
      <w:proofErr w:type="spellStart"/>
      <w:r w:rsidRPr="006F7966">
        <w:t>rien</w:t>
      </w:r>
      <w:proofErr w:type="spellEnd"/>
      <w:r w:rsidRPr="006F7966">
        <w:t xml:space="preserve"> au dossier ne conduit à </w:t>
      </w:r>
      <w:proofErr w:type="spellStart"/>
      <w:r w:rsidRPr="006F7966">
        <w:t>considérer</w:t>
      </w:r>
      <w:proofErr w:type="spellEnd"/>
      <w:r w:rsidRPr="006F7966">
        <w:t xml:space="preserve"> que </w:t>
      </w:r>
      <w:proofErr w:type="spellStart"/>
      <w:r w:rsidRPr="006F7966">
        <w:t>l’avocat</w:t>
      </w:r>
      <w:proofErr w:type="spellEnd"/>
      <w:r w:rsidRPr="006F7966">
        <w:t xml:space="preserve"> de la </w:t>
      </w:r>
      <w:proofErr w:type="spellStart"/>
      <w:r w:rsidRPr="006F7966">
        <w:t>requérante</w:t>
      </w:r>
      <w:proofErr w:type="spellEnd"/>
      <w:r w:rsidRPr="006F7966">
        <w:t xml:space="preserve"> </w:t>
      </w:r>
      <w:proofErr w:type="spellStart"/>
      <w:r w:rsidRPr="006F7966">
        <w:t>n’a</w:t>
      </w:r>
      <w:proofErr w:type="spellEnd"/>
      <w:r w:rsidRPr="006F7966">
        <w:t xml:space="preserve"> pas </w:t>
      </w:r>
      <w:proofErr w:type="spellStart"/>
      <w:r w:rsidRPr="006F7966">
        <w:t>été</w:t>
      </w:r>
      <w:proofErr w:type="spellEnd"/>
      <w:r w:rsidRPr="006F7966">
        <w:t xml:space="preserve"> mis à </w:t>
      </w:r>
      <w:proofErr w:type="spellStart"/>
      <w:r w:rsidRPr="006F7966">
        <w:t>même</w:t>
      </w:r>
      <w:proofErr w:type="spellEnd"/>
      <w:r w:rsidRPr="006F7966">
        <w:t xml:space="preserve"> </w:t>
      </w:r>
      <w:proofErr w:type="spellStart"/>
      <w:r w:rsidRPr="006F7966">
        <w:t>d’assurer</w:t>
      </w:r>
      <w:proofErr w:type="spellEnd"/>
      <w:r w:rsidRPr="006F7966">
        <w:t xml:space="preserve"> </w:t>
      </w:r>
      <w:proofErr w:type="spellStart"/>
      <w:r w:rsidRPr="006F7966">
        <w:t>utilement</w:t>
      </w:r>
      <w:proofErr w:type="spellEnd"/>
      <w:r w:rsidRPr="006F7966">
        <w:t xml:space="preserve"> </w:t>
      </w:r>
      <w:proofErr w:type="spellStart"/>
      <w:r w:rsidRPr="006F7966">
        <w:t>sa</w:t>
      </w:r>
      <w:proofErr w:type="spellEnd"/>
      <w:r w:rsidRPr="006F7966">
        <w:t xml:space="preserve"> </w:t>
      </w:r>
      <w:proofErr w:type="spellStart"/>
      <w:r w:rsidRPr="006F7966">
        <w:t>défense</w:t>
      </w:r>
      <w:proofErr w:type="spellEnd"/>
      <w:r w:rsidRPr="006F7966">
        <w:t xml:space="preserve"> au </w:t>
      </w:r>
      <w:proofErr w:type="spellStart"/>
      <w:r w:rsidRPr="006F7966">
        <w:t>cours</w:t>
      </w:r>
      <w:proofErr w:type="spellEnd"/>
      <w:r w:rsidRPr="006F7966">
        <w:t xml:space="preserve"> de </w:t>
      </w:r>
      <w:proofErr w:type="spellStart"/>
      <w:r w:rsidRPr="006F7966">
        <w:t>l’audience</w:t>
      </w:r>
      <w:proofErr w:type="spellEnd"/>
      <w:r w:rsidRPr="006F7966">
        <w:t xml:space="preserve"> et des </w:t>
      </w:r>
      <w:proofErr w:type="spellStart"/>
      <w:r w:rsidRPr="006F7966">
        <w:t>débats</w:t>
      </w:r>
      <w:proofErr w:type="spellEnd"/>
      <w:r w:rsidRPr="006F7966">
        <w:t xml:space="preserve"> </w:t>
      </w:r>
      <w:proofErr w:type="spellStart"/>
      <w:r w:rsidRPr="006F7966">
        <w:t>contradictoires</w:t>
      </w:r>
      <w:proofErr w:type="spellEnd"/>
      <w:r w:rsidRPr="006F7966">
        <w:t xml:space="preserve"> qui </w:t>
      </w:r>
      <w:proofErr w:type="spellStart"/>
      <w:r w:rsidRPr="006F7966">
        <w:t>s’y</w:t>
      </w:r>
      <w:proofErr w:type="spellEnd"/>
      <w:r w:rsidRPr="006F7966">
        <w:t xml:space="preserve"> </w:t>
      </w:r>
      <w:proofErr w:type="spellStart"/>
      <w:r w:rsidRPr="006F7966">
        <w:t>sont</w:t>
      </w:r>
      <w:proofErr w:type="spellEnd"/>
      <w:r w:rsidRPr="006F7966">
        <w:t xml:space="preserve"> </w:t>
      </w:r>
      <w:proofErr w:type="spellStart"/>
      <w:r w:rsidRPr="006F7966">
        <w:t>déroulés</w:t>
      </w:r>
      <w:proofErr w:type="spellEnd"/>
      <w:r w:rsidRPr="006F7966">
        <w:t>.</w:t>
      </w:r>
    </w:p>
    <w:p w14:paraId="1F680054"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66</w:t>
      </w:r>
      <w:r>
        <w:rPr>
          <w:noProof/>
        </w:rPr>
        <w:fldChar w:fldCharType="end"/>
      </w:r>
      <w:r w:rsidRPr="006F7966">
        <w:t xml:space="preserve">.  La </w:t>
      </w:r>
      <w:proofErr w:type="spellStart"/>
      <w:r w:rsidRPr="006F7966">
        <w:t>requérante</w:t>
      </w:r>
      <w:proofErr w:type="spellEnd"/>
      <w:r w:rsidRPr="006F7966">
        <w:t xml:space="preserve"> </w:t>
      </w:r>
      <w:proofErr w:type="spellStart"/>
      <w:r w:rsidRPr="006F7966">
        <w:t>déplore</w:t>
      </w:r>
      <w:proofErr w:type="spellEnd"/>
      <w:r w:rsidRPr="006F7966">
        <w:t xml:space="preserve"> ensuite que la MJIE </w:t>
      </w:r>
      <w:proofErr w:type="spellStart"/>
      <w:r w:rsidRPr="006F7966">
        <w:t>n’a</w:t>
      </w:r>
      <w:proofErr w:type="spellEnd"/>
      <w:r w:rsidRPr="006F7966">
        <w:t xml:space="preserve"> </w:t>
      </w:r>
      <w:proofErr w:type="spellStart"/>
      <w:r w:rsidRPr="006F7966">
        <w:t>pu</w:t>
      </w:r>
      <w:proofErr w:type="spellEnd"/>
      <w:r w:rsidRPr="006F7966">
        <w:t xml:space="preserve"> </w:t>
      </w:r>
      <w:proofErr w:type="spellStart"/>
      <w:r w:rsidRPr="006F7966">
        <w:t>être</w:t>
      </w:r>
      <w:proofErr w:type="spellEnd"/>
      <w:r w:rsidRPr="006F7966">
        <w:t xml:space="preserve"> </w:t>
      </w:r>
      <w:proofErr w:type="spellStart"/>
      <w:r w:rsidRPr="006F7966">
        <w:t>effectuée</w:t>
      </w:r>
      <w:proofErr w:type="spellEnd"/>
      <w:r w:rsidRPr="006F7966">
        <w:t xml:space="preserve"> que cinq </w:t>
      </w:r>
      <w:proofErr w:type="spellStart"/>
      <w:r w:rsidRPr="006F7966">
        <w:t>mois</w:t>
      </w:r>
      <w:proofErr w:type="spellEnd"/>
      <w:r w:rsidRPr="006F7966">
        <w:t xml:space="preserve"> après </w:t>
      </w:r>
      <w:proofErr w:type="spellStart"/>
      <w:r w:rsidRPr="006F7966">
        <w:t>avoir</w:t>
      </w:r>
      <w:proofErr w:type="spellEnd"/>
      <w:r w:rsidRPr="006F7966">
        <w:t xml:space="preserve"> </w:t>
      </w:r>
      <w:proofErr w:type="spellStart"/>
      <w:r w:rsidRPr="006F7966">
        <w:t>été</w:t>
      </w:r>
      <w:proofErr w:type="spellEnd"/>
      <w:r w:rsidRPr="006F7966">
        <w:t xml:space="preserve"> </w:t>
      </w:r>
      <w:proofErr w:type="spellStart"/>
      <w:r w:rsidRPr="006F7966">
        <w:t>ordonnée</w:t>
      </w:r>
      <w:proofErr w:type="spellEnd"/>
      <w:r w:rsidRPr="006F7966">
        <w:t xml:space="preserve"> par le </w:t>
      </w:r>
      <w:proofErr w:type="spellStart"/>
      <w:r w:rsidRPr="006F7966">
        <w:t>juge</w:t>
      </w:r>
      <w:proofErr w:type="spellEnd"/>
      <w:r w:rsidRPr="006F7966">
        <w:t xml:space="preserve">. La </w:t>
      </w:r>
      <w:proofErr w:type="spellStart"/>
      <w:r w:rsidRPr="006F7966">
        <w:t>Cour</w:t>
      </w:r>
      <w:proofErr w:type="spellEnd"/>
      <w:r w:rsidRPr="006F7966">
        <w:t xml:space="preserve"> </w:t>
      </w:r>
      <w:proofErr w:type="spellStart"/>
      <w:r w:rsidRPr="006F7966">
        <w:t>relève</w:t>
      </w:r>
      <w:proofErr w:type="spellEnd"/>
      <w:r w:rsidRPr="006F7966">
        <w:t xml:space="preserve"> </w:t>
      </w:r>
      <w:proofErr w:type="spellStart"/>
      <w:r w:rsidRPr="006F7966">
        <w:t>toutefois</w:t>
      </w:r>
      <w:proofErr w:type="spellEnd"/>
      <w:r w:rsidRPr="006F7966">
        <w:t xml:space="preserve"> que </w:t>
      </w:r>
      <w:proofErr w:type="spellStart"/>
      <w:r w:rsidRPr="006F7966">
        <w:t>ce</w:t>
      </w:r>
      <w:proofErr w:type="spellEnd"/>
      <w:r w:rsidRPr="006F7966">
        <w:t xml:space="preserve"> </w:t>
      </w:r>
      <w:proofErr w:type="spellStart"/>
      <w:r w:rsidRPr="006F7966">
        <w:t>délai</w:t>
      </w:r>
      <w:proofErr w:type="spellEnd"/>
      <w:r w:rsidRPr="006F7966">
        <w:t xml:space="preserve"> </w:t>
      </w:r>
      <w:proofErr w:type="spellStart"/>
      <w:r w:rsidRPr="006F7966">
        <w:t>n’a</w:t>
      </w:r>
      <w:proofErr w:type="spellEnd"/>
      <w:r w:rsidRPr="006F7966">
        <w:t xml:space="preserve"> pas </w:t>
      </w:r>
      <w:proofErr w:type="spellStart"/>
      <w:r w:rsidRPr="006F7966">
        <w:t>empêché</w:t>
      </w:r>
      <w:proofErr w:type="spellEnd"/>
      <w:r w:rsidRPr="006F7966">
        <w:t xml:space="preserve"> le JE </w:t>
      </w:r>
      <w:proofErr w:type="spellStart"/>
      <w:r w:rsidRPr="006F7966">
        <w:t>d’obtenir</w:t>
      </w:r>
      <w:proofErr w:type="spellEnd"/>
      <w:r w:rsidRPr="006F7966">
        <w:t xml:space="preserve"> de la part des </w:t>
      </w:r>
      <w:proofErr w:type="spellStart"/>
      <w:r w:rsidRPr="006F7966">
        <w:t>professionnels</w:t>
      </w:r>
      <w:proofErr w:type="spellEnd"/>
      <w:r w:rsidRPr="006F7966">
        <w:t xml:space="preserve"> </w:t>
      </w:r>
      <w:proofErr w:type="spellStart"/>
      <w:r w:rsidRPr="006F7966">
        <w:t>accueillant</w:t>
      </w:r>
      <w:proofErr w:type="spellEnd"/>
      <w:r w:rsidRPr="006F7966">
        <w:t xml:space="preserve"> </w:t>
      </w:r>
      <w:proofErr w:type="spellStart"/>
      <w:r w:rsidRPr="006F7966">
        <w:t>l’enfant</w:t>
      </w:r>
      <w:proofErr w:type="spellEnd"/>
      <w:r w:rsidRPr="006F7966">
        <w:t xml:space="preserve"> les </w:t>
      </w:r>
      <w:proofErr w:type="spellStart"/>
      <w:r w:rsidRPr="006F7966">
        <w:t>éléments</w:t>
      </w:r>
      <w:proofErr w:type="spellEnd"/>
      <w:r w:rsidRPr="006F7966">
        <w:t xml:space="preserve"> </w:t>
      </w:r>
      <w:proofErr w:type="spellStart"/>
      <w:r w:rsidRPr="006F7966">
        <w:t>nécessaires</w:t>
      </w:r>
      <w:proofErr w:type="spellEnd"/>
      <w:r w:rsidRPr="006F7966">
        <w:t xml:space="preserve"> à </w:t>
      </w:r>
      <w:proofErr w:type="spellStart"/>
      <w:r w:rsidRPr="006F7966">
        <w:t>sa</w:t>
      </w:r>
      <w:proofErr w:type="spellEnd"/>
      <w:r w:rsidRPr="006F7966">
        <w:t xml:space="preserve"> prise de </w:t>
      </w:r>
      <w:proofErr w:type="spellStart"/>
      <w:r w:rsidRPr="006F7966">
        <w:t>décision</w:t>
      </w:r>
      <w:proofErr w:type="spellEnd"/>
      <w:r w:rsidRPr="006F7966">
        <w:t xml:space="preserve"> (</w:t>
      </w:r>
      <w:proofErr w:type="spellStart"/>
      <w:r w:rsidRPr="006F7966">
        <w:t>renouvellement</w:t>
      </w:r>
      <w:proofErr w:type="spellEnd"/>
      <w:r w:rsidRPr="006F7966">
        <w:t xml:space="preserve"> du placement et octroi d’un droit de </w:t>
      </w:r>
      <w:proofErr w:type="spellStart"/>
      <w:r w:rsidRPr="006F7966">
        <w:t>visite</w:t>
      </w:r>
      <w:proofErr w:type="spellEnd"/>
      <w:r w:rsidRPr="006F7966">
        <w:t xml:space="preserve"> </w:t>
      </w:r>
      <w:proofErr w:type="spellStart"/>
      <w:r w:rsidRPr="006F7966">
        <w:t>élargi</w:t>
      </w:r>
      <w:proofErr w:type="spellEnd"/>
      <w:r w:rsidRPr="006F7966">
        <w:t xml:space="preserve">, </w:t>
      </w:r>
      <w:proofErr w:type="spellStart"/>
      <w:r w:rsidRPr="006F7966">
        <w:t>paragraphes</w:t>
      </w:r>
      <w:proofErr w:type="spellEnd"/>
      <w:r w:rsidRPr="006F7966">
        <w:t xml:space="preserve"> 19 et 20 ci-dessus).</w:t>
      </w:r>
    </w:p>
    <w:p w14:paraId="73E152E8"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67</w:t>
      </w:r>
      <w:r>
        <w:rPr>
          <w:noProof/>
        </w:rPr>
        <w:fldChar w:fldCharType="end"/>
      </w:r>
      <w:r w:rsidRPr="006F7966">
        <w:t xml:space="preserve">.  De manière plus </w:t>
      </w:r>
      <w:proofErr w:type="spellStart"/>
      <w:r w:rsidRPr="006F7966">
        <w:t>générale</w:t>
      </w:r>
      <w:proofErr w:type="spellEnd"/>
      <w:r w:rsidRPr="006F7966">
        <w:t xml:space="preserve">, la </w:t>
      </w:r>
      <w:proofErr w:type="spellStart"/>
      <w:r w:rsidRPr="006F7966">
        <w:t>Cour</w:t>
      </w:r>
      <w:proofErr w:type="spellEnd"/>
      <w:r w:rsidRPr="006F7966">
        <w:t xml:space="preserve"> </w:t>
      </w:r>
      <w:proofErr w:type="spellStart"/>
      <w:r w:rsidRPr="006F7966">
        <w:t>estime</w:t>
      </w:r>
      <w:proofErr w:type="spellEnd"/>
      <w:r w:rsidRPr="006F7966">
        <w:t xml:space="preserve"> que, </w:t>
      </w:r>
      <w:proofErr w:type="spellStart"/>
      <w:r w:rsidRPr="006F7966">
        <w:t>considéré</w:t>
      </w:r>
      <w:proofErr w:type="spellEnd"/>
      <w:r w:rsidRPr="006F7966">
        <w:t xml:space="preserve"> </w:t>
      </w:r>
      <w:proofErr w:type="spellStart"/>
      <w:r w:rsidRPr="006F7966">
        <w:t>comme</w:t>
      </w:r>
      <w:proofErr w:type="spellEnd"/>
      <w:r w:rsidRPr="006F7966">
        <w:t xml:space="preserve"> un tout, le </w:t>
      </w:r>
      <w:proofErr w:type="spellStart"/>
      <w:r w:rsidRPr="006F7966">
        <w:t>processus</w:t>
      </w:r>
      <w:proofErr w:type="spellEnd"/>
      <w:r w:rsidRPr="006F7966">
        <w:t xml:space="preserve"> </w:t>
      </w:r>
      <w:proofErr w:type="spellStart"/>
      <w:r w:rsidRPr="006F7966">
        <w:t>décisionnel</w:t>
      </w:r>
      <w:proofErr w:type="spellEnd"/>
      <w:r w:rsidRPr="006F7966">
        <w:t xml:space="preserve"> a </w:t>
      </w:r>
      <w:proofErr w:type="spellStart"/>
      <w:r w:rsidRPr="006F7966">
        <w:t>été</w:t>
      </w:r>
      <w:proofErr w:type="spellEnd"/>
      <w:r w:rsidRPr="006F7966">
        <w:t xml:space="preserve"> </w:t>
      </w:r>
      <w:proofErr w:type="spellStart"/>
      <w:r w:rsidRPr="006F7966">
        <w:t>entouré</w:t>
      </w:r>
      <w:proofErr w:type="spellEnd"/>
      <w:r w:rsidRPr="006F7966">
        <w:t xml:space="preserve"> de </w:t>
      </w:r>
      <w:proofErr w:type="spellStart"/>
      <w:r w:rsidRPr="006F7966">
        <w:t>garanties</w:t>
      </w:r>
      <w:proofErr w:type="spellEnd"/>
      <w:r w:rsidRPr="006F7966">
        <w:t xml:space="preserve"> de </w:t>
      </w:r>
      <w:proofErr w:type="spellStart"/>
      <w:r w:rsidRPr="006F7966">
        <w:t>procédure</w:t>
      </w:r>
      <w:proofErr w:type="spellEnd"/>
      <w:r w:rsidRPr="006F7966">
        <w:t xml:space="preserve"> </w:t>
      </w:r>
      <w:proofErr w:type="spellStart"/>
      <w:r w:rsidRPr="006F7966">
        <w:t>telles</w:t>
      </w:r>
      <w:proofErr w:type="spellEnd"/>
      <w:r w:rsidRPr="006F7966">
        <w:t xml:space="preserve"> </w:t>
      </w:r>
      <w:proofErr w:type="spellStart"/>
      <w:r w:rsidRPr="006F7966">
        <w:t>qu’il</w:t>
      </w:r>
      <w:proofErr w:type="spellEnd"/>
      <w:r w:rsidRPr="006F7966">
        <w:t xml:space="preserve"> a </w:t>
      </w:r>
      <w:proofErr w:type="spellStart"/>
      <w:r w:rsidRPr="006F7966">
        <w:t>suffisamment</w:t>
      </w:r>
      <w:proofErr w:type="spellEnd"/>
      <w:r w:rsidRPr="006F7966">
        <w:t xml:space="preserve"> protégé les </w:t>
      </w:r>
      <w:proofErr w:type="spellStart"/>
      <w:r w:rsidRPr="006F7966">
        <w:t>intérêts</w:t>
      </w:r>
      <w:proofErr w:type="spellEnd"/>
      <w:r w:rsidRPr="006F7966">
        <w:t xml:space="preserve"> de la </w:t>
      </w:r>
      <w:proofErr w:type="spellStart"/>
      <w:r w:rsidRPr="006F7966">
        <w:t>requérante</w:t>
      </w:r>
      <w:proofErr w:type="spellEnd"/>
      <w:r w:rsidRPr="006F7966">
        <w:t xml:space="preserve">. Elle </w:t>
      </w:r>
      <w:proofErr w:type="spellStart"/>
      <w:r w:rsidRPr="006F7966">
        <w:t>relève</w:t>
      </w:r>
      <w:proofErr w:type="spellEnd"/>
      <w:r w:rsidRPr="006F7966">
        <w:t xml:space="preserve"> que </w:t>
      </w:r>
      <w:proofErr w:type="spellStart"/>
      <w:r w:rsidRPr="006F7966">
        <w:t>celle</w:t>
      </w:r>
      <w:proofErr w:type="spellEnd"/>
      <w:r w:rsidRPr="006F7966">
        <w:t xml:space="preserve">-ci a </w:t>
      </w:r>
      <w:proofErr w:type="spellStart"/>
      <w:r w:rsidRPr="006F7966">
        <w:t>disposé</w:t>
      </w:r>
      <w:proofErr w:type="spellEnd"/>
      <w:r w:rsidRPr="006F7966">
        <w:t xml:space="preserve"> d’un droit de </w:t>
      </w:r>
      <w:proofErr w:type="spellStart"/>
      <w:r w:rsidRPr="006F7966">
        <w:t>recours</w:t>
      </w:r>
      <w:proofErr w:type="spellEnd"/>
      <w:r w:rsidRPr="006F7966">
        <w:t xml:space="preserve"> </w:t>
      </w:r>
      <w:proofErr w:type="spellStart"/>
      <w:r w:rsidRPr="006F7966">
        <w:t>contre</w:t>
      </w:r>
      <w:proofErr w:type="spellEnd"/>
      <w:r w:rsidRPr="006F7966">
        <w:t xml:space="preserve"> </w:t>
      </w:r>
      <w:proofErr w:type="spellStart"/>
      <w:r w:rsidRPr="006F7966">
        <w:t>toutes</w:t>
      </w:r>
      <w:proofErr w:type="spellEnd"/>
      <w:r w:rsidRPr="006F7966">
        <w:t xml:space="preserve"> les </w:t>
      </w:r>
      <w:proofErr w:type="spellStart"/>
      <w:r w:rsidRPr="006F7966">
        <w:t>décisions</w:t>
      </w:r>
      <w:proofErr w:type="spellEnd"/>
      <w:r w:rsidRPr="006F7966">
        <w:t xml:space="preserve"> prises par le JE, </w:t>
      </w:r>
      <w:proofErr w:type="spellStart"/>
      <w:r w:rsidRPr="006F7966">
        <w:t>qu’elle</w:t>
      </w:r>
      <w:proofErr w:type="spellEnd"/>
      <w:r w:rsidRPr="006F7966">
        <w:t xml:space="preserve"> </w:t>
      </w:r>
      <w:proofErr w:type="spellStart"/>
      <w:r w:rsidRPr="006F7966">
        <w:t>était</w:t>
      </w:r>
      <w:proofErr w:type="spellEnd"/>
      <w:r w:rsidRPr="006F7966">
        <w:t xml:space="preserve"> </w:t>
      </w:r>
      <w:proofErr w:type="spellStart"/>
      <w:r w:rsidRPr="006F7966">
        <w:t>représentée</w:t>
      </w:r>
      <w:proofErr w:type="spellEnd"/>
      <w:r w:rsidRPr="006F7966">
        <w:t xml:space="preserve"> par son conseil et </w:t>
      </w:r>
      <w:proofErr w:type="spellStart"/>
      <w:r w:rsidRPr="006F7966">
        <w:t>régulièrement</w:t>
      </w:r>
      <w:proofErr w:type="spellEnd"/>
      <w:r w:rsidRPr="006F7966">
        <w:t xml:space="preserve"> </w:t>
      </w:r>
      <w:proofErr w:type="spellStart"/>
      <w:r w:rsidRPr="006F7966">
        <w:t>assistée</w:t>
      </w:r>
      <w:proofErr w:type="spellEnd"/>
      <w:r w:rsidRPr="006F7966">
        <w:t xml:space="preserve"> d’un </w:t>
      </w:r>
      <w:proofErr w:type="spellStart"/>
      <w:r w:rsidRPr="006F7966">
        <w:t>interprète</w:t>
      </w:r>
      <w:proofErr w:type="spellEnd"/>
      <w:r w:rsidRPr="006F7966">
        <w:t xml:space="preserve"> et a </w:t>
      </w:r>
      <w:proofErr w:type="spellStart"/>
      <w:r w:rsidRPr="006F7966">
        <w:t>disposé</w:t>
      </w:r>
      <w:proofErr w:type="spellEnd"/>
      <w:r w:rsidRPr="006F7966">
        <w:t xml:space="preserve"> de la </w:t>
      </w:r>
      <w:proofErr w:type="spellStart"/>
      <w:r w:rsidRPr="006F7966">
        <w:t>faculté</w:t>
      </w:r>
      <w:proofErr w:type="spellEnd"/>
      <w:r w:rsidRPr="006F7966">
        <w:t xml:space="preserve"> de faire </w:t>
      </w:r>
      <w:proofErr w:type="spellStart"/>
      <w:r w:rsidRPr="006F7966">
        <w:t>utilement</w:t>
      </w:r>
      <w:proofErr w:type="spellEnd"/>
      <w:r w:rsidRPr="006F7966">
        <w:t xml:space="preserve"> </w:t>
      </w:r>
      <w:proofErr w:type="spellStart"/>
      <w:r w:rsidRPr="006F7966">
        <w:t>valoir</w:t>
      </w:r>
      <w:proofErr w:type="spellEnd"/>
      <w:r w:rsidRPr="006F7966">
        <w:t xml:space="preserve"> </w:t>
      </w:r>
      <w:proofErr w:type="spellStart"/>
      <w:r w:rsidRPr="006F7966">
        <w:t>ses</w:t>
      </w:r>
      <w:proofErr w:type="spellEnd"/>
      <w:r w:rsidRPr="006F7966">
        <w:t xml:space="preserve"> arguments </w:t>
      </w:r>
      <w:proofErr w:type="spellStart"/>
      <w:r w:rsidRPr="006F7966">
        <w:t>en</w:t>
      </w:r>
      <w:proofErr w:type="spellEnd"/>
      <w:r w:rsidRPr="006F7966">
        <w:t xml:space="preserve"> </w:t>
      </w:r>
      <w:proofErr w:type="spellStart"/>
      <w:r w:rsidRPr="006F7966">
        <w:t>défense</w:t>
      </w:r>
      <w:proofErr w:type="spellEnd"/>
      <w:r w:rsidRPr="006F7966">
        <w:t xml:space="preserve">, de prendre </w:t>
      </w:r>
      <w:proofErr w:type="spellStart"/>
      <w:r w:rsidRPr="006F7966">
        <w:t>connaissance</w:t>
      </w:r>
      <w:proofErr w:type="spellEnd"/>
      <w:r w:rsidRPr="006F7966">
        <w:t xml:space="preserve"> de </w:t>
      </w:r>
      <w:proofErr w:type="spellStart"/>
      <w:r w:rsidRPr="006F7966">
        <w:t>ceux</w:t>
      </w:r>
      <w:proofErr w:type="spellEnd"/>
      <w:r w:rsidRPr="006F7966">
        <w:t xml:space="preserve"> </w:t>
      </w:r>
      <w:proofErr w:type="spellStart"/>
      <w:r w:rsidRPr="006F7966">
        <w:t>présentés</w:t>
      </w:r>
      <w:proofErr w:type="spellEnd"/>
      <w:r w:rsidRPr="006F7966">
        <w:t xml:space="preserve"> par les </w:t>
      </w:r>
      <w:proofErr w:type="spellStart"/>
      <w:r w:rsidRPr="006F7966">
        <w:t>autres</w:t>
      </w:r>
      <w:proofErr w:type="spellEnd"/>
      <w:r w:rsidRPr="006F7966">
        <w:t xml:space="preserve"> parties et de les </w:t>
      </w:r>
      <w:proofErr w:type="spellStart"/>
      <w:r w:rsidRPr="006F7966">
        <w:t>discuter</w:t>
      </w:r>
      <w:proofErr w:type="spellEnd"/>
      <w:r w:rsidRPr="006F7966">
        <w:t xml:space="preserve"> dans le cadre du </w:t>
      </w:r>
      <w:proofErr w:type="spellStart"/>
      <w:r w:rsidRPr="006F7966">
        <w:t>débat</w:t>
      </w:r>
      <w:proofErr w:type="spellEnd"/>
      <w:r w:rsidRPr="006F7966">
        <w:t xml:space="preserve"> </w:t>
      </w:r>
      <w:proofErr w:type="spellStart"/>
      <w:r w:rsidRPr="006F7966">
        <w:t>contradictoire</w:t>
      </w:r>
      <w:proofErr w:type="spellEnd"/>
      <w:r w:rsidRPr="006F7966">
        <w:t>.</w:t>
      </w:r>
    </w:p>
    <w:p w14:paraId="2636778F" w14:textId="77777777" w:rsidR="00760E8D" w:rsidRPr="006F7966" w:rsidRDefault="00760E8D" w:rsidP="00760E8D">
      <w:pPr>
        <w:pStyle w:val="JuHi"/>
        <w:numPr>
          <w:ilvl w:val="0"/>
          <w:numId w:val="2"/>
        </w:numPr>
        <w:ind w:left="1021" w:hanging="341"/>
      </w:pPr>
      <w:r w:rsidRPr="006F7966">
        <w:t>Conclusion</w:t>
      </w:r>
    </w:p>
    <w:p w14:paraId="1295645F" w14:textId="77777777" w:rsidR="00760E8D" w:rsidRPr="006F7966" w:rsidRDefault="00760E8D" w:rsidP="00760E8D">
      <w:pPr>
        <w:pStyle w:val="ECHRPara"/>
      </w:pPr>
      <w:r>
        <w:rPr>
          <w:noProof/>
        </w:rPr>
        <w:fldChar w:fldCharType="begin"/>
      </w:r>
      <w:r>
        <w:rPr>
          <w:noProof/>
        </w:rPr>
        <w:instrText xml:space="preserve"> SEQ level0 \*arabic \* MERGEFORMAT </w:instrText>
      </w:r>
      <w:r>
        <w:rPr>
          <w:noProof/>
        </w:rPr>
        <w:fldChar w:fldCharType="separate"/>
      </w:r>
      <w:r w:rsidRPr="006F7966">
        <w:rPr>
          <w:noProof/>
        </w:rPr>
        <w:t>68</w:t>
      </w:r>
      <w:r>
        <w:rPr>
          <w:noProof/>
        </w:rPr>
        <w:fldChar w:fldCharType="end"/>
      </w:r>
      <w:r w:rsidRPr="006F7966">
        <w:t xml:space="preserve">.  Au vu de </w:t>
      </w:r>
      <w:proofErr w:type="spellStart"/>
      <w:r w:rsidRPr="006F7966">
        <w:t>l’ensemble</w:t>
      </w:r>
      <w:proofErr w:type="spellEnd"/>
      <w:r w:rsidRPr="006F7966">
        <w:t xml:space="preserve"> des </w:t>
      </w:r>
      <w:proofErr w:type="spellStart"/>
      <w:r w:rsidRPr="006F7966">
        <w:t>considérations</w:t>
      </w:r>
      <w:proofErr w:type="spellEnd"/>
      <w:r w:rsidRPr="006F7966">
        <w:t xml:space="preserve"> qui </w:t>
      </w:r>
      <w:proofErr w:type="spellStart"/>
      <w:r w:rsidRPr="006F7966">
        <w:t>précèdent</w:t>
      </w:r>
      <w:proofErr w:type="spellEnd"/>
      <w:r w:rsidRPr="006F7966">
        <w:t xml:space="preserve">, la </w:t>
      </w:r>
      <w:proofErr w:type="spellStart"/>
      <w:r w:rsidRPr="006F7966">
        <w:t>Cour</w:t>
      </w:r>
      <w:proofErr w:type="spellEnd"/>
      <w:r w:rsidRPr="006F7966">
        <w:t xml:space="preserve"> </w:t>
      </w:r>
      <w:proofErr w:type="spellStart"/>
      <w:r w:rsidRPr="006F7966">
        <w:t>conclut</w:t>
      </w:r>
      <w:proofErr w:type="spellEnd"/>
      <w:r w:rsidRPr="006F7966">
        <w:t xml:space="preserve"> que les </w:t>
      </w:r>
      <w:proofErr w:type="spellStart"/>
      <w:r w:rsidRPr="006F7966">
        <w:t>décisions</w:t>
      </w:r>
      <w:proofErr w:type="spellEnd"/>
      <w:r w:rsidRPr="006F7966">
        <w:t xml:space="preserve"> </w:t>
      </w:r>
      <w:proofErr w:type="spellStart"/>
      <w:r w:rsidRPr="006F7966">
        <w:t>litigieuses</w:t>
      </w:r>
      <w:proofErr w:type="spellEnd"/>
      <w:r w:rsidRPr="006F7966">
        <w:t xml:space="preserve"> </w:t>
      </w:r>
      <w:proofErr w:type="spellStart"/>
      <w:r w:rsidRPr="006F7966">
        <w:t>reposent</w:t>
      </w:r>
      <w:proofErr w:type="spellEnd"/>
      <w:r w:rsidRPr="006F7966">
        <w:t xml:space="preserve"> sur des motifs non </w:t>
      </w:r>
      <w:proofErr w:type="spellStart"/>
      <w:r w:rsidRPr="006F7966">
        <w:t>seulement</w:t>
      </w:r>
      <w:proofErr w:type="spellEnd"/>
      <w:r w:rsidRPr="006F7966">
        <w:t xml:space="preserve"> </w:t>
      </w:r>
      <w:proofErr w:type="spellStart"/>
      <w:r w:rsidRPr="006F7966">
        <w:t>pertinents</w:t>
      </w:r>
      <w:proofErr w:type="spellEnd"/>
      <w:r w:rsidRPr="006F7966">
        <w:t xml:space="preserve"> </w:t>
      </w:r>
      <w:proofErr w:type="spellStart"/>
      <w:r w:rsidRPr="006F7966">
        <w:t>mais</w:t>
      </w:r>
      <w:proofErr w:type="spellEnd"/>
      <w:r w:rsidRPr="006F7966">
        <w:t xml:space="preserve"> encore </w:t>
      </w:r>
      <w:proofErr w:type="spellStart"/>
      <w:r w:rsidRPr="006F7966">
        <w:t>suffisants</w:t>
      </w:r>
      <w:proofErr w:type="spellEnd"/>
      <w:r w:rsidRPr="006F7966">
        <w:t xml:space="preserve"> au regard du </w:t>
      </w:r>
      <w:proofErr w:type="spellStart"/>
      <w:r w:rsidRPr="006F7966">
        <w:t>paragraphe</w:t>
      </w:r>
      <w:proofErr w:type="spellEnd"/>
      <w:r w:rsidRPr="006F7966">
        <w:t xml:space="preserve"> 2 de </w:t>
      </w:r>
      <w:proofErr w:type="spellStart"/>
      <w:r w:rsidRPr="006F7966">
        <w:t>l’article</w:t>
      </w:r>
      <w:proofErr w:type="spellEnd"/>
      <w:r w:rsidRPr="006F7966">
        <w:t xml:space="preserve"> 8, et que les </w:t>
      </w:r>
      <w:proofErr w:type="spellStart"/>
      <w:r w:rsidRPr="006F7966">
        <w:t>autorités</w:t>
      </w:r>
      <w:proofErr w:type="spellEnd"/>
      <w:r w:rsidRPr="006F7966">
        <w:t xml:space="preserve"> </w:t>
      </w:r>
      <w:proofErr w:type="spellStart"/>
      <w:r w:rsidRPr="006F7966">
        <w:t>nationales</w:t>
      </w:r>
      <w:proofErr w:type="spellEnd"/>
      <w:r w:rsidRPr="006F7966">
        <w:t xml:space="preserve"> </w:t>
      </w:r>
      <w:proofErr w:type="spellStart"/>
      <w:r w:rsidRPr="006F7966">
        <w:t>ont</w:t>
      </w:r>
      <w:proofErr w:type="spellEnd"/>
      <w:r w:rsidRPr="006F7966">
        <w:t xml:space="preserve"> pris, sans </w:t>
      </w:r>
      <w:proofErr w:type="spellStart"/>
      <w:r w:rsidRPr="006F7966">
        <w:t>excéder</w:t>
      </w:r>
      <w:proofErr w:type="spellEnd"/>
      <w:r w:rsidRPr="006F7966">
        <w:t xml:space="preserve"> </w:t>
      </w:r>
      <w:proofErr w:type="spellStart"/>
      <w:r w:rsidRPr="006F7966">
        <w:t>leur</w:t>
      </w:r>
      <w:proofErr w:type="spellEnd"/>
      <w:r w:rsidRPr="006F7966">
        <w:t xml:space="preserve"> marge </w:t>
      </w:r>
      <w:proofErr w:type="spellStart"/>
      <w:r w:rsidRPr="006F7966">
        <w:t>d’appréciation</w:t>
      </w:r>
      <w:proofErr w:type="spellEnd"/>
      <w:r w:rsidRPr="006F7966">
        <w:t xml:space="preserve">, les </w:t>
      </w:r>
      <w:proofErr w:type="spellStart"/>
      <w:r w:rsidRPr="006F7966">
        <w:t>mesures</w:t>
      </w:r>
      <w:proofErr w:type="spellEnd"/>
      <w:r w:rsidRPr="006F7966">
        <w:t xml:space="preserve"> que </w:t>
      </w:r>
      <w:proofErr w:type="spellStart"/>
      <w:r w:rsidRPr="006F7966">
        <w:t>l’on</w:t>
      </w:r>
      <w:proofErr w:type="spellEnd"/>
      <w:r w:rsidRPr="006F7966">
        <w:t xml:space="preserve"> </w:t>
      </w:r>
      <w:proofErr w:type="spellStart"/>
      <w:r w:rsidRPr="006F7966">
        <w:t>pouvait</w:t>
      </w:r>
      <w:proofErr w:type="spellEnd"/>
      <w:r w:rsidRPr="006F7966">
        <w:t xml:space="preserve"> </w:t>
      </w:r>
      <w:proofErr w:type="spellStart"/>
      <w:r w:rsidRPr="006F7966">
        <w:t>raisonnablement</w:t>
      </w:r>
      <w:proofErr w:type="spellEnd"/>
      <w:r w:rsidRPr="006F7966">
        <w:t xml:space="preserve"> </w:t>
      </w:r>
      <w:proofErr w:type="spellStart"/>
      <w:r w:rsidRPr="006F7966">
        <w:t>exiger</w:t>
      </w:r>
      <w:proofErr w:type="spellEnd"/>
      <w:r w:rsidRPr="006F7966">
        <w:t xml:space="preserve"> </w:t>
      </w:r>
      <w:proofErr w:type="spellStart"/>
      <w:r w:rsidRPr="006F7966">
        <w:t>d’elles</w:t>
      </w:r>
      <w:proofErr w:type="spellEnd"/>
      <w:r w:rsidRPr="006F7966">
        <w:t xml:space="preserve"> </w:t>
      </w:r>
      <w:proofErr w:type="spellStart"/>
      <w:r w:rsidRPr="006F7966">
        <w:t>afin</w:t>
      </w:r>
      <w:proofErr w:type="spellEnd"/>
      <w:r w:rsidRPr="006F7966">
        <w:t xml:space="preserve"> </w:t>
      </w:r>
      <w:proofErr w:type="spellStart"/>
      <w:r w:rsidRPr="006F7966">
        <w:t>d’assurer</w:t>
      </w:r>
      <w:proofErr w:type="spellEnd"/>
      <w:r w:rsidRPr="006F7966">
        <w:t xml:space="preserve"> le respect de </w:t>
      </w:r>
      <w:proofErr w:type="spellStart"/>
      <w:r w:rsidRPr="006F7966">
        <w:t>l’intérêt</w:t>
      </w:r>
      <w:proofErr w:type="spellEnd"/>
      <w:r w:rsidRPr="006F7966">
        <w:t xml:space="preserve"> </w:t>
      </w:r>
      <w:proofErr w:type="spellStart"/>
      <w:r w:rsidRPr="006F7966">
        <w:t>supérieur</w:t>
      </w:r>
      <w:proofErr w:type="spellEnd"/>
      <w:r w:rsidRPr="006F7966">
        <w:t xml:space="preserve"> de </w:t>
      </w:r>
      <w:proofErr w:type="spellStart"/>
      <w:r w:rsidRPr="006F7966">
        <w:t>l’enfant</w:t>
      </w:r>
      <w:proofErr w:type="spellEnd"/>
      <w:r w:rsidRPr="006F7966">
        <w:t xml:space="preserve"> sans porter </w:t>
      </w:r>
      <w:proofErr w:type="spellStart"/>
      <w:r w:rsidRPr="006F7966">
        <w:t>d’atteinte</w:t>
      </w:r>
      <w:proofErr w:type="spellEnd"/>
      <w:r w:rsidRPr="006F7966">
        <w:t xml:space="preserve"> excessive aux droits de la </w:t>
      </w:r>
      <w:proofErr w:type="spellStart"/>
      <w:r w:rsidRPr="006F7966">
        <w:t>requérante</w:t>
      </w:r>
      <w:proofErr w:type="spellEnd"/>
      <w:r w:rsidRPr="006F7966">
        <w:t xml:space="preserve">. Il </w:t>
      </w:r>
      <w:proofErr w:type="spellStart"/>
      <w:r w:rsidRPr="006F7966">
        <w:t>n’y</w:t>
      </w:r>
      <w:proofErr w:type="spellEnd"/>
      <w:r w:rsidRPr="006F7966">
        <w:t xml:space="preserve"> a </w:t>
      </w:r>
      <w:proofErr w:type="spellStart"/>
      <w:r w:rsidRPr="006F7966">
        <w:t>donc</w:t>
      </w:r>
      <w:proofErr w:type="spellEnd"/>
      <w:r w:rsidRPr="006F7966">
        <w:t xml:space="preserve"> pas </w:t>
      </w:r>
      <w:proofErr w:type="spellStart"/>
      <w:r w:rsidRPr="006F7966">
        <w:t>eu</w:t>
      </w:r>
      <w:proofErr w:type="spellEnd"/>
      <w:r w:rsidRPr="006F7966">
        <w:t xml:space="preserve"> violation de </w:t>
      </w:r>
      <w:proofErr w:type="spellStart"/>
      <w:r w:rsidRPr="006F7966">
        <w:t>l’article</w:t>
      </w:r>
      <w:proofErr w:type="spellEnd"/>
      <w:r w:rsidRPr="006F7966">
        <w:t xml:space="preserve"> 8 de la Convention.</w:t>
      </w:r>
    </w:p>
    <w:bookmarkEnd w:id="3"/>
    <w:p w14:paraId="08384591" w14:textId="77777777" w:rsidR="00760E8D" w:rsidRPr="006F7966" w:rsidRDefault="00760E8D" w:rsidP="00760E8D">
      <w:pPr>
        <w:pStyle w:val="ECHRTitle1"/>
        <w:numPr>
          <w:ilvl w:val="0"/>
          <w:numId w:val="18"/>
        </w:numPr>
        <w:spacing w:before="100" w:beforeAutospacing="1"/>
      </w:pPr>
      <w:r w:rsidRPr="006F7966">
        <w:t>PAR CES MOTIFS, LA COUR, À L’UNANIMITÉ,</w:t>
      </w:r>
    </w:p>
    <w:p w14:paraId="71D16FDD" w14:textId="77777777" w:rsidR="00760E8D" w:rsidRPr="006F7966" w:rsidRDefault="00760E8D" w:rsidP="00760E8D">
      <w:pPr>
        <w:pStyle w:val="JuList"/>
        <w:numPr>
          <w:ilvl w:val="0"/>
          <w:numId w:val="6"/>
        </w:numPr>
        <w:spacing w:before="280" w:after="60"/>
      </w:pPr>
      <w:proofErr w:type="spellStart"/>
      <w:r w:rsidRPr="006F7966">
        <w:rPr>
          <w:i/>
          <w:iCs/>
        </w:rPr>
        <w:t>Déclare</w:t>
      </w:r>
      <w:proofErr w:type="spellEnd"/>
      <w:r w:rsidRPr="006F7966">
        <w:t xml:space="preserve"> la </w:t>
      </w:r>
      <w:proofErr w:type="spellStart"/>
      <w:r w:rsidRPr="006F7966">
        <w:t>requête</w:t>
      </w:r>
      <w:proofErr w:type="spellEnd"/>
      <w:r w:rsidRPr="006F7966">
        <w:t xml:space="preserve"> </w:t>
      </w:r>
      <w:proofErr w:type="spellStart"/>
      <w:proofErr w:type="gramStart"/>
      <w:r w:rsidRPr="006F7966">
        <w:t>recevable</w:t>
      </w:r>
      <w:proofErr w:type="spellEnd"/>
      <w:r w:rsidRPr="006F7966">
        <w:t> ;</w:t>
      </w:r>
      <w:proofErr w:type="gramEnd"/>
    </w:p>
    <w:p w14:paraId="0ABD673A" w14:textId="77777777" w:rsidR="00760E8D" w:rsidRPr="006F7966" w:rsidRDefault="00760E8D" w:rsidP="00760E8D">
      <w:pPr>
        <w:pStyle w:val="JuList"/>
        <w:numPr>
          <w:ilvl w:val="0"/>
          <w:numId w:val="6"/>
        </w:numPr>
        <w:spacing w:before="280" w:after="60"/>
      </w:pPr>
      <w:proofErr w:type="spellStart"/>
      <w:r w:rsidRPr="006F7966">
        <w:rPr>
          <w:i/>
          <w:iCs/>
        </w:rPr>
        <w:t>Dit</w:t>
      </w:r>
      <w:proofErr w:type="spellEnd"/>
      <w:r w:rsidRPr="006F7966">
        <w:t xml:space="preserve"> </w:t>
      </w:r>
      <w:proofErr w:type="spellStart"/>
      <w:r w:rsidRPr="006F7966">
        <w:t>qu’il</w:t>
      </w:r>
      <w:proofErr w:type="spellEnd"/>
      <w:r w:rsidRPr="006F7966">
        <w:t xml:space="preserve"> </w:t>
      </w:r>
      <w:proofErr w:type="spellStart"/>
      <w:r w:rsidRPr="006F7966">
        <w:t>n’y</w:t>
      </w:r>
      <w:proofErr w:type="spellEnd"/>
      <w:r w:rsidRPr="006F7966">
        <w:t xml:space="preserve"> a pas </w:t>
      </w:r>
      <w:proofErr w:type="spellStart"/>
      <w:r w:rsidRPr="006F7966">
        <w:t>eu</w:t>
      </w:r>
      <w:proofErr w:type="spellEnd"/>
      <w:r w:rsidRPr="006F7966">
        <w:t xml:space="preserve"> violation de </w:t>
      </w:r>
      <w:proofErr w:type="spellStart"/>
      <w:r w:rsidRPr="006F7966">
        <w:t>l’article</w:t>
      </w:r>
      <w:proofErr w:type="spellEnd"/>
      <w:r w:rsidRPr="006F7966">
        <w:t xml:space="preserve"> 8 de la Convention.</w:t>
      </w:r>
    </w:p>
    <w:p w14:paraId="11A17257" w14:textId="77777777" w:rsidR="00760E8D" w:rsidRPr="00DD3495" w:rsidRDefault="00760E8D" w:rsidP="006B1D1D">
      <w:pPr>
        <w:rPr>
          <w:rFonts w:ascii="Times New Roman" w:hAnsi="Times New Roman" w:cs="Times New Roman"/>
          <w:sz w:val="24"/>
          <w:szCs w:val="24"/>
        </w:rPr>
      </w:pPr>
    </w:p>
    <w:sectPr w:rsidR="00760E8D" w:rsidRPr="00DD3495">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7B91" w14:textId="77777777" w:rsidR="00760E8D" w:rsidRDefault="00760E8D" w:rsidP="00760E8D">
      <w:pPr>
        <w:spacing w:after="0" w:line="240" w:lineRule="auto"/>
      </w:pPr>
      <w:r>
        <w:separator/>
      </w:r>
    </w:p>
  </w:endnote>
  <w:endnote w:type="continuationSeparator" w:id="0">
    <w:p w14:paraId="29629327" w14:textId="77777777" w:rsidR="00760E8D" w:rsidRDefault="00760E8D" w:rsidP="0076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5E1A" w14:textId="77777777" w:rsidR="00954AD6" w:rsidRPr="00F25EFC" w:rsidRDefault="000C726F" w:rsidP="00954AD6">
    <w:pPr>
      <w:pStyle w:val="JuHeader"/>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FB95" w14:textId="535F9B8E" w:rsidR="00A62CEB" w:rsidRPr="00150BFA" w:rsidRDefault="000C726F" w:rsidP="00760E8D"/>
  <w:p w14:paraId="3B39552D" w14:textId="77777777" w:rsidR="00F22D5C" w:rsidRPr="00F25EFC" w:rsidRDefault="000C726F" w:rsidP="00F27D13">
    <w:pPr>
      <w:pStyle w:val="Pieddepage"/>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F855" w14:textId="77777777" w:rsidR="00A62CEB" w:rsidRPr="00150BFA" w:rsidRDefault="000C726F" w:rsidP="0020718E">
    <w:pPr>
      <w:jc w:val="center"/>
    </w:pPr>
    <w:r>
      <w:rPr>
        <w:noProof/>
        <w:lang w:val="en-US" w:eastAsia="ja-JP"/>
      </w:rPr>
      <w:drawing>
        <wp:inline distT="0" distB="0" distL="0" distR="0" wp14:anchorId="2A0BA69C" wp14:editId="1C037CD3">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7C608C66" w14:textId="77777777" w:rsidR="00902601" w:rsidRPr="00F25EFC" w:rsidRDefault="000C726F" w:rsidP="00902601">
    <w:pPr>
      <w:pStyle w:val="Pieddepage"/>
      <w:jc w:val="cen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43E0" w14:textId="77777777" w:rsidR="00760E8D" w:rsidRDefault="00760E8D" w:rsidP="00760E8D">
      <w:pPr>
        <w:spacing w:after="0" w:line="240" w:lineRule="auto"/>
      </w:pPr>
      <w:r>
        <w:separator/>
      </w:r>
    </w:p>
  </w:footnote>
  <w:footnote w:type="continuationSeparator" w:id="0">
    <w:p w14:paraId="1C291976" w14:textId="77777777" w:rsidR="00760E8D" w:rsidRDefault="00760E8D" w:rsidP="0076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030C" w14:textId="15DF8961" w:rsidR="00A62CEB" w:rsidRPr="00A45145" w:rsidRDefault="000C726F" w:rsidP="00A45145">
    <w:pPr>
      <w:jc w:val="center"/>
    </w:pPr>
  </w:p>
  <w:p w14:paraId="3E4C9F9A" w14:textId="77777777" w:rsidR="00F22D5C" w:rsidRPr="00F25EFC" w:rsidRDefault="000C726F" w:rsidP="009840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9EF7" w14:textId="77777777" w:rsidR="00A62CEB" w:rsidRPr="00A45145" w:rsidRDefault="000C726F" w:rsidP="00A45145">
    <w:pPr>
      <w:jc w:val="center"/>
    </w:pPr>
    <w:r>
      <w:rPr>
        <w:noProof/>
        <w:lang w:val="en-US" w:eastAsia="ja-JP"/>
      </w:rPr>
      <w:drawing>
        <wp:inline distT="0" distB="0" distL="0" distR="0" wp14:anchorId="11B1D17A" wp14:editId="6DBDEBCA">
          <wp:extent cx="2962275" cy="1219200"/>
          <wp:effectExtent l="0" t="0" r="9525" b="0"/>
          <wp:docPr id="64" name="Picture 6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855375B" w14:textId="77777777" w:rsidR="00902601" w:rsidRPr="00F25EFC" w:rsidRDefault="000C726F" w:rsidP="00902601">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enumros"/>
      <w:lvlText w:val="%1."/>
      <w:lvlJc w:val="left"/>
      <w:pPr>
        <w:tabs>
          <w:tab w:val="num" w:pos="360"/>
        </w:tabs>
        <w:ind w:left="360" w:hanging="360"/>
      </w:pPr>
    </w:lvl>
  </w:abstractNum>
  <w:abstractNum w:abstractNumId="9" w15:restartNumberingAfterBreak="0">
    <w:nsid w:val="0C0F5BFC"/>
    <w:multiLevelType w:val="multilevel"/>
    <w:tmpl w:val="D8668044"/>
    <w:lvl w:ilvl="0">
      <w:start w:val="1"/>
      <w:numFmt w:val="none"/>
      <w:suff w:val="nothing"/>
      <w:lvlText w:val="%1"/>
      <w:lvlJc w:val="left"/>
      <w:pPr>
        <w:ind w:left="0" w:firstLine="0"/>
      </w:pPr>
      <w:rPr>
        <w:rFonts w:hint="default"/>
      </w:rPr>
    </w:lvl>
    <w:lvl w:ilvl="1">
      <w:start w:val="1"/>
      <w:numFmt w:val="upperRoman"/>
      <w:lvlText w:val="%2."/>
      <w:lvlJc w:val="left"/>
      <w:pPr>
        <w:ind w:left="397" w:hanging="397"/>
      </w:pPr>
      <w:rPr>
        <w:rFonts w:hint="default"/>
      </w:rPr>
    </w:lvl>
    <w:lvl w:ilvl="2">
      <w:start w:val="1"/>
      <w:numFmt w:val="upperLetter"/>
      <w:lvlText w:val="%3."/>
      <w:lvlJc w:val="left"/>
      <w:pPr>
        <w:ind w:left="510" w:hanging="340"/>
      </w:pPr>
      <w:rPr>
        <w:rFonts w:hint="default"/>
      </w:rPr>
    </w:lvl>
    <w:lvl w:ilvl="3">
      <w:start w:val="1"/>
      <w:numFmt w:val="decimal"/>
      <w:lvlText w:val="%4."/>
      <w:lvlJc w:val="left"/>
      <w:pPr>
        <w:ind w:left="680" w:hanging="340"/>
      </w:pPr>
      <w:rPr>
        <w:rFonts w:hint="default"/>
      </w:rPr>
    </w:lvl>
    <w:lvl w:ilvl="4">
      <w:start w:val="1"/>
      <w:numFmt w:val="lowerLetter"/>
      <w:lvlText w:val="%5)"/>
      <w:lvlJc w:val="left"/>
      <w:pPr>
        <w:ind w:left="851" w:hanging="341"/>
      </w:pPr>
      <w:rPr>
        <w:rFonts w:hint="default"/>
      </w:rPr>
    </w:lvl>
    <w:lvl w:ilvl="5">
      <w:start w:val="1"/>
      <w:numFmt w:val="lowerRoman"/>
      <w:lvlText w:val="%6."/>
      <w:lvlJc w:val="left"/>
      <w:pPr>
        <w:ind w:left="1021" w:hanging="341"/>
      </w:pPr>
      <w:rPr>
        <w:rFonts w:hint="default"/>
      </w:rPr>
    </w:lvl>
    <w:lvl w:ilvl="6">
      <w:start w:val="1"/>
      <mc:AlternateContent>
        <mc:Choice Requires="w14">
          <w:numFmt w:val="custom" w:format="α, β, γ, ..."/>
        </mc:Choice>
        <mc:Fallback>
          <w:numFmt w:val="decimal"/>
        </mc:Fallback>
      </mc:AlternateContent>
      <w:lvlText w:val="%7)"/>
      <w:lvlJc w:val="left"/>
      <w:pPr>
        <w:ind w:left="1247" w:hanging="396"/>
      </w:pPr>
      <w:rPr>
        <w:rFonts w:asciiTheme="minorHAnsi" w:hAnsiTheme="minorHAnsi" w:hint="default"/>
        <w:b w:val="0"/>
        <w:i w:val="0"/>
      </w:rPr>
    </w:lvl>
    <w:lvl w:ilvl="7">
      <w:start w:val="1"/>
      <w:numFmt w:val="bullet"/>
      <w:lvlText w:val="‒"/>
      <w:lvlJc w:val="left"/>
      <w:pPr>
        <w:ind w:left="1247" w:hanging="226"/>
      </w:pPr>
      <w:rPr>
        <w:rFonts w:ascii="Times New Roman" w:hAnsi="Times New Roman" w:cs="Times New Roman" w:hint="default"/>
        <w:color w:val="auto"/>
      </w:rPr>
    </w:lvl>
    <w:lvl w:ilvl="8">
      <w:start w:val="1"/>
      <w:numFmt w:val="bullet"/>
      <w:lvlText w:val="▪"/>
      <w:lvlJc w:val="left"/>
      <w:pPr>
        <w:ind w:left="1361" w:hanging="170"/>
      </w:pPr>
      <w:rPr>
        <w:rFonts w:ascii="Times New Roman" w:hAnsi="Times New Roman" w:cs="Times New Roman" w:hint="default"/>
        <w:color w:val="auto"/>
      </w:rPr>
    </w:lvl>
  </w:abstractNum>
  <w:abstractNum w:abstractNumId="10"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D5546B"/>
    <w:multiLevelType w:val="multilevel"/>
    <w:tmpl w:val="7222064C"/>
    <w:styleLink w:val="ECHRA1Style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E6A40"/>
    <w:multiLevelType w:val="multilevel"/>
    <w:tmpl w:val="C36EE3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B9BD5"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98544F5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5D7306C"/>
    <w:multiLevelType w:val="multilevel"/>
    <w:tmpl w:val="040C0023"/>
    <w:styleLink w:val="ArticleSection"/>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8" w15:restartNumberingAfterBreak="0">
    <w:nsid w:val="67FD1241"/>
    <w:multiLevelType w:val="hybridMultilevel"/>
    <w:tmpl w:val="F6D86CC2"/>
    <w:lvl w:ilvl="0" w:tplc="E4205412">
      <w:start w:val="1"/>
      <w:numFmt w:val="bullet"/>
      <w:pStyle w:val="Listepuces"/>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916086533">
    <w:abstractNumId w:val="17"/>
  </w:num>
  <w:num w:numId="2" w16cid:durableId="768816078">
    <w:abstractNumId w:val="9"/>
  </w:num>
  <w:num w:numId="3" w16cid:durableId="659383584">
    <w:abstractNumId w:val="13"/>
  </w:num>
  <w:num w:numId="4" w16cid:durableId="1427119188">
    <w:abstractNumId w:val="10"/>
  </w:num>
  <w:num w:numId="5" w16cid:durableId="124399418">
    <w:abstractNumId w:val="14"/>
  </w:num>
  <w:num w:numId="6" w16cid:durableId="195049952">
    <w:abstractNumId w:val="11"/>
  </w:num>
  <w:num w:numId="7" w16cid:durableId="308901727">
    <w:abstractNumId w:val="15"/>
  </w:num>
  <w:num w:numId="8" w16cid:durableId="960648809">
    <w:abstractNumId w:val="18"/>
  </w:num>
  <w:num w:numId="9" w16cid:durableId="1309239992">
    <w:abstractNumId w:val="7"/>
  </w:num>
  <w:num w:numId="10" w16cid:durableId="1976182522">
    <w:abstractNumId w:val="6"/>
  </w:num>
  <w:num w:numId="11" w16cid:durableId="2010518408">
    <w:abstractNumId w:val="5"/>
  </w:num>
  <w:num w:numId="12" w16cid:durableId="2095735591">
    <w:abstractNumId w:val="4"/>
  </w:num>
  <w:num w:numId="13" w16cid:durableId="189615373">
    <w:abstractNumId w:val="8"/>
  </w:num>
  <w:num w:numId="14" w16cid:durableId="958338478">
    <w:abstractNumId w:val="3"/>
  </w:num>
  <w:num w:numId="15" w16cid:durableId="1685594558">
    <w:abstractNumId w:val="2"/>
  </w:num>
  <w:num w:numId="16" w16cid:durableId="1062102960">
    <w:abstractNumId w:val="1"/>
  </w:num>
  <w:num w:numId="17" w16cid:durableId="290944164">
    <w:abstractNumId w:val="0"/>
  </w:num>
  <w:num w:numId="18" w16cid:durableId="1992981423">
    <w:abstractNumId w:val="16"/>
  </w:num>
  <w:num w:numId="19" w16cid:durableId="748649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95"/>
    <w:rsid w:val="000C726F"/>
    <w:rsid w:val="002F0F04"/>
    <w:rsid w:val="004E113F"/>
    <w:rsid w:val="005A133A"/>
    <w:rsid w:val="005A7445"/>
    <w:rsid w:val="006B1D1D"/>
    <w:rsid w:val="00760E8D"/>
    <w:rsid w:val="00775604"/>
    <w:rsid w:val="00903030"/>
    <w:rsid w:val="00DA7A71"/>
    <w:rsid w:val="00DB07FD"/>
    <w:rsid w:val="00DD3495"/>
    <w:rsid w:val="00E865D0"/>
    <w:rsid w:val="00F81C36"/>
    <w:rsid w:val="00FE0C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713E"/>
  <w15:chartTrackingRefBased/>
  <w15:docId w15:val="{F5C5E535-A544-4FB5-9239-ACB786E4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uiPriority w:val="98"/>
    <w:rsid w:val="004E113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8"/>
    <w:semiHidden/>
    <w:rsid w:val="004E113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8"/>
    <w:semiHidden/>
    <w:rsid w:val="004E113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8"/>
    <w:semiHidden/>
    <w:rsid w:val="004E113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8"/>
    <w:semiHidden/>
    <w:qFormat/>
    <w:rsid w:val="004E113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8"/>
    <w:semiHidden/>
    <w:rsid w:val="004E113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8"/>
    <w:semiHidden/>
    <w:qFormat/>
    <w:rsid w:val="004E113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8"/>
    <w:semiHidden/>
    <w:qFormat/>
    <w:rsid w:val="004E113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8"/>
    <w:semiHidden/>
    <w:qFormat/>
    <w:rsid w:val="004E113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8"/>
    <w:rsid w:val="004E113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8"/>
    <w:semiHidden/>
    <w:rsid w:val="004E113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8"/>
    <w:semiHidden/>
    <w:rsid w:val="004E113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8"/>
    <w:semiHidden/>
    <w:rsid w:val="004E113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8"/>
    <w:semiHidden/>
    <w:rsid w:val="004E113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8"/>
    <w:semiHidden/>
    <w:rsid w:val="004E113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8"/>
    <w:semiHidden/>
    <w:rsid w:val="004E113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8"/>
    <w:semiHidden/>
    <w:rsid w:val="004E113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8"/>
    <w:semiHidden/>
    <w:rsid w:val="004E113F"/>
    <w:rPr>
      <w:rFonts w:asciiTheme="majorHAnsi" w:eastAsiaTheme="majorEastAsia" w:hAnsiTheme="majorHAnsi" w:cstheme="majorBidi"/>
      <w:i/>
      <w:iCs/>
      <w:color w:val="272727" w:themeColor="text1" w:themeTint="D8"/>
      <w:sz w:val="21"/>
      <w:szCs w:val="21"/>
    </w:rPr>
  </w:style>
  <w:style w:type="paragraph" w:customStyle="1" w:styleId="ECHRHeading3">
    <w:name w:val="ECHR_Heading_3"/>
    <w:aliases w:val="Ju_H_1.,_Head_4"/>
    <w:basedOn w:val="Titre3"/>
    <w:next w:val="ECHRPara"/>
    <w:uiPriority w:val="17"/>
    <w:qFormat/>
    <w:rsid w:val="004E113F"/>
  </w:style>
  <w:style w:type="paragraph" w:customStyle="1" w:styleId="ECHRHeading4">
    <w:name w:val="ECHR_Heading_4"/>
    <w:aliases w:val="Ju_H_a,_Head_5"/>
    <w:basedOn w:val="Titre4"/>
    <w:next w:val="ECHRPara"/>
    <w:uiPriority w:val="17"/>
    <w:qFormat/>
    <w:rsid w:val="004E113F"/>
  </w:style>
  <w:style w:type="paragraph" w:customStyle="1" w:styleId="ECHRPara">
    <w:name w:val="ECHR_Para"/>
    <w:aliases w:val="Ju_Para,_Para"/>
    <w:basedOn w:val="Normal"/>
    <w:link w:val="ECHRParaChar"/>
    <w:uiPriority w:val="4"/>
    <w:qFormat/>
    <w:rsid w:val="004E113F"/>
    <w:pPr>
      <w:spacing w:after="0" w:line="240" w:lineRule="auto"/>
      <w:ind w:firstLine="284"/>
      <w:jc w:val="both"/>
    </w:pPr>
    <w:rPr>
      <w:rFonts w:eastAsiaTheme="minorEastAsia"/>
      <w:sz w:val="24"/>
      <w:lang w:val="en-GB"/>
    </w:rPr>
  </w:style>
  <w:style w:type="paragraph" w:customStyle="1" w:styleId="ECHRTitle1">
    <w:name w:val="ECHR_Title_1"/>
    <w:aliases w:val="Ju_H_Head,_Head_1,_Title_L_1"/>
    <w:basedOn w:val="Normal"/>
    <w:next w:val="ECHRPara"/>
    <w:uiPriority w:val="28"/>
    <w:qFormat/>
    <w:rsid w:val="004E113F"/>
    <w:pPr>
      <w:keepNext/>
      <w:keepLines/>
      <w:spacing w:before="720" w:after="240" w:line="240" w:lineRule="auto"/>
      <w:jc w:val="both"/>
      <w:outlineLvl w:val="0"/>
    </w:pPr>
    <w:rPr>
      <w:rFonts w:asciiTheme="majorHAnsi" w:eastAsiaTheme="minorEastAsia" w:hAnsiTheme="majorHAnsi"/>
      <w:sz w:val="28"/>
      <w:lang w:val="en-GB"/>
    </w:rPr>
  </w:style>
  <w:style w:type="paragraph" w:customStyle="1" w:styleId="JuList">
    <w:name w:val="Ju_List"/>
    <w:aliases w:val="_List_1"/>
    <w:basedOn w:val="Normal"/>
    <w:uiPriority w:val="23"/>
    <w:qFormat/>
    <w:rsid w:val="004E113F"/>
    <w:pPr>
      <w:spacing w:after="0" w:line="240" w:lineRule="auto"/>
      <w:ind w:left="340" w:hanging="340"/>
      <w:jc w:val="both"/>
    </w:pPr>
    <w:rPr>
      <w:rFonts w:eastAsiaTheme="minorEastAsia"/>
      <w:sz w:val="24"/>
      <w:lang w:val="en-GB"/>
    </w:rPr>
  </w:style>
  <w:style w:type="numbering" w:styleId="ArticleSection">
    <w:name w:val="Outline List 3"/>
    <w:basedOn w:val="Aucuneliste"/>
    <w:uiPriority w:val="99"/>
    <w:semiHidden/>
    <w:rsid w:val="004E113F"/>
    <w:pPr>
      <w:numPr>
        <w:numId w:val="1"/>
      </w:numPr>
    </w:pPr>
  </w:style>
  <w:style w:type="character" w:customStyle="1" w:styleId="ECHRParaChar">
    <w:name w:val="ECHR_Para Char"/>
    <w:aliases w:val="Ju_Para Char,_Para Char"/>
    <w:link w:val="ECHRPara"/>
    <w:uiPriority w:val="4"/>
    <w:rsid w:val="004E113F"/>
    <w:rPr>
      <w:rFonts w:eastAsiaTheme="minorEastAsia"/>
      <w:sz w:val="24"/>
      <w:lang w:val="en-GB"/>
    </w:rPr>
  </w:style>
  <w:style w:type="paragraph" w:styleId="Textedebulles">
    <w:name w:val="Balloon Text"/>
    <w:basedOn w:val="Normal"/>
    <w:link w:val="TextedebullesCar"/>
    <w:uiPriority w:val="98"/>
    <w:semiHidden/>
    <w:rsid w:val="00760E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8"/>
    <w:semiHidden/>
    <w:rsid w:val="00760E8D"/>
    <w:rPr>
      <w:rFonts w:ascii="Tahoma" w:hAnsi="Tahoma" w:cs="Tahoma"/>
      <w:sz w:val="16"/>
      <w:szCs w:val="16"/>
    </w:rPr>
  </w:style>
  <w:style w:type="character" w:styleId="Titredulivre">
    <w:name w:val="Book Title"/>
    <w:uiPriority w:val="98"/>
    <w:qFormat/>
    <w:rsid w:val="00760E8D"/>
    <w:rPr>
      <w:i/>
      <w:iCs/>
      <w:smallCaps/>
      <w:spacing w:val="5"/>
    </w:rPr>
  </w:style>
  <w:style w:type="paragraph" w:customStyle="1" w:styleId="JuHeader">
    <w:name w:val="Ju_Header"/>
    <w:aliases w:val="_Header"/>
    <w:basedOn w:val="En-tte"/>
    <w:uiPriority w:val="29"/>
    <w:qFormat/>
    <w:rsid w:val="00760E8D"/>
    <w:pPr>
      <w:tabs>
        <w:tab w:val="clear" w:pos="4536"/>
        <w:tab w:val="clear" w:pos="9072"/>
      </w:tabs>
      <w:jc w:val="center"/>
    </w:pPr>
    <w:rPr>
      <w:sz w:val="18"/>
    </w:rPr>
  </w:style>
  <w:style w:type="paragraph" w:customStyle="1" w:styleId="DummyStyle">
    <w:name w:val="Dummy_Style"/>
    <w:aliases w:val="_Dummy"/>
    <w:basedOn w:val="Normal"/>
    <w:semiHidden/>
    <w:qFormat/>
    <w:rsid w:val="00760E8D"/>
    <w:pPr>
      <w:spacing w:after="0" w:line="240" w:lineRule="auto"/>
    </w:pPr>
    <w:rPr>
      <w:color w:val="00B050"/>
      <w:szCs w:val="24"/>
    </w:rPr>
  </w:style>
  <w:style w:type="character" w:styleId="lev">
    <w:name w:val="Strong"/>
    <w:uiPriority w:val="98"/>
    <w:qFormat/>
    <w:rsid w:val="00760E8D"/>
    <w:rPr>
      <w:b/>
      <w:bCs/>
    </w:rPr>
  </w:style>
  <w:style w:type="paragraph" w:styleId="Sansinterligne">
    <w:name w:val="No Spacing"/>
    <w:basedOn w:val="Normal"/>
    <w:link w:val="SansinterligneCar"/>
    <w:uiPriority w:val="98"/>
    <w:qFormat/>
    <w:rsid w:val="00760E8D"/>
    <w:pPr>
      <w:spacing w:after="0" w:line="240" w:lineRule="auto"/>
    </w:pPr>
    <w:rPr>
      <w:sz w:val="24"/>
      <w:szCs w:val="24"/>
    </w:rPr>
  </w:style>
  <w:style w:type="character" w:customStyle="1" w:styleId="SansinterligneCar">
    <w:name w:val="Sans interligne Car"/>
    <w:basedOn w:val="Policepardfaut"/>
    <w:link w:val="Sansinterligne"/>
    <w:uiPriority w:val="98"/>
    <w:rsid w:val="00760E8D"/>
    <w:rPr>
      <w:sz w:val="24"/>
      <w:szCs w:val="24"/>
    </w:rPr>
  </w:style>
  <w:style w:type="paragraph" w:customStyle="1" w:styleId="JuQuot">
    <w:name w:val="Ju_Quot"/>
    <w:aliases w:val="_Quote"/>
    <w:basedOn w:val="NormalJustified"/>
    <w:uiPriority w:val="20"/>
    <w:qFormat/>
    <w:rsid w:val="00760E8D"/>
    <w:pPr>
      <w:spacing w:before="120" w:after="120"/>
      <w:ind w:left="425" w:firstLine="142"/>
    </w:pPr>
    <w:rPr>
      <w:sz w:val="20"/>
    </w:rPr>
  </w:style>
  <w:style w:type="paragraph" w:customStyle="1" w:styleId="JuLista">
    <w:name w:val="Ju_List_a"/>
    <w:aliases w:val="_List_2"/>
    <w:basedOn w:val="NormalJustified"/>
    <w:uiPriority w:val="23"/>
    <w:rsid w:val="00760E8D"/>
    <w:pPr>
      <w:tabs>
        <w:tab w:val="num" w:pos="680"/>
      </w:tabs>
      <w:ind w:left="680" w:hanging="340"/>
    </w:pPr>
  </w:style>
  <w:style w:type="paragraph" w:customStyle="1" w:styleId="JuListi">
    <w:name w:val="Ju_List_i"/>
    <w:aliases w:val="_List_3"/>
    <w:basedOn w:val="NormalJustified"/>
    <w:uiPriority w:val="23"/>
    <w:rsid w:val="00760E8D"/>
    <w:pPr>
      <w:ind w:left="907" w:hanging="227"/>
    </w:pPr>
  </w:style>
  <w:style w:type="paragraph" w:customStyle="1" w:styleId="DecHTitle">
    <w:name w:val="Dec_H_Title"/>
    <w:aliases w:val="_Title_1"/>
    <w:basedOn w:val="ECHRPara"/>
    <w:next w:val="ECHRPara"/>
    <w:uiPriority w:val="38"/>
    <w:qFormat/>
    <w:rsid w:val="00760E8D"/>
    <w:pPr>
      <w:keepNext/>
      <w:keepLines/>
      <w:spacing w:after="240"/>
      <w:ind w:firstLine="0"/>
      <w:jc w:val="center"/>
      <w:outlineLvl w:val="0"/>
    </w:pPr>
    <w:rPr>
      <w:rFonts w:asciiTheme="majorHAnsi" w:eastAsiaTheme="minorHAnsi" w:hAnsiTheme="majorHAnsi"/>
      <w:sz w:val="28"/>
      <w:szCs w:val="24"/>
      <w:lang w:val="fr-FR"/>
    </w:rPr>
  </w:style>
  <w:style w:type="paragraph" w:customStyle="1" w:styleId="JuHArticle">
    <w:name w:val="Ju_H_Article"/>
    <w:aliases w:val="_Title_Quote"/>
    <w:basedOn w:val="Normal"/>
    <w:next w:val="JuQuot"/>
    <w:uiPriority w:val="19"/>
    <w:qFormat/>
    <w:rsid w:val="00760E8D"/>
    <w:pPr>
      <w:keepNext/>
      <w:spacing w:before="100" w:beforeAutospacing="1" w:after="120" w:line="240" w:lineRule="auto"/>
      <w:contextualSpacing/>
      <w:jc w:val="center"/>
    </w:pPr>
    <w:rPr>
      <w:b/>
      <w:sz w:val="20"/>
      <w:szCs w:val="24"/>
    </w:rPr>
  </w:style>
  <w:style w:type="paragraph" w:customStyle="1" w:styleId="ECHRCoverTitle4">
    <w:name w:val="ECHR_Cover_Title_4"/>
    <w:aliases w:val="_Title_4"/>
    <w:basedOn w:val="ECHRPara"/>
    <w:next w:val="ECHRPara"/>
    <w:uiPriority w:val="38"/>
    <w:qFormat/>
    <w:rsid w:val="00760E8D"/>
    <w:pPr>
      <w:keepNext/>
      <w:keepLines/>
      <w:tabs>
        <w:tab w:val="right" w:pos="7938"/>
      </w:tabs>
      <w:ind w:firstLine="0"/>
      <w:jc w:val="center"/>
    </w:pPr>
    <w:rPr>
      <w:rFonts w:eastAsiaTheme="minorHAnsi"/>
      <w:i/>
      <w:szCs w:val="24"/>
      <w:lang w:val="fr-FR"/>
    </w:rPr>
  </w:style>
  <w:style w:type="numbering" w:customStyle="1" w:styleId="ECHRA1StyleBulletedSquare">
    <w:name w:val="ECHR_A1_Style_Bulleted_Square"/>
    <w:basedOn w:val="Aucuneliste"/>
    <w:rsid w:val="00760E8D"/>
    <w:pPr>
      <w:numPr>
        <w:numId w:val="5"/>
      </w:numPr>
    </w:pPr>
  </w:style>
  <w:style w:type="numbering" w:customStyle="1" w:styleId="ECHRA1StyleList">
    <w:name w:val="ECHR_A1_Style_List"/>
    <w:basedOn w:val="Aucuneliste"/>
    <w:uiPriority w:val="99"/>
    <w:rsid w:val="00760E8D"/>
    <w:pPr>
      <w:numPr>
        <w:numId w:val="6"/>
      </w:numPr>
    </w:pPr>
  </w:style>
  <w:style w:type="paragraph" w:customStyle="1" w:styleId="JuSigned">
    <w:name w:val="Ju_Signed"/>
    <w:aliases w:val="_Signature"/>
    <w:basedOn w:val="Normal"/>
    <w:next w:val="ECHRPara"/>
    <w:uiPriority w:val="31"/>
    <w:qFormat/>
    <w:rsid w:val="00760E8D"/>
    <w:pPr>
      <w:tabs>
        <w:tab w:val="center" w:pos="851"/>
        <w:tab w:val="center" w:pos="6407"/>
      </w:tabs>
      <w:spacing w:before="720" w:after="0" w:line="240" w:lineRule="auto"/>
    </w:pPr>
    <w:rPr>
      <w:sz w:val="24"/>
      <w:szCs w:val="24"/>
    </w:rPr>
  </w:style>
  <w:style w:type="paragraph" w:styleId="Titre">
    <w:name w:val="Title"/>
    <w:basedOn w:val="Normal"/>
    <w:next w:val="Normal"/>
    <w:link w:val="TitreCar"/>
    <w:uiPriority w:val="98"/>
    <w:qFormat/>
    <w:rsid w:val="00760E8D"/>
    <w:pPr>
      <w:pBdr>
        <w:bottom w:val="single" w:sz="4" w:space="1" w:color="auto"/>
      </w:pBdr>
      <w:spacing w:after="0" w:line="240" w:lineRule="auto"/>
      <w:contextualSpacing/>
    </w:pPr>
    <w:rPr>
      <w:rFonts w:asciiTheme="majorHAnsi" w:eastAsiaTheme="majorEastAsia" w:hAnsiTheme="majorHAnsi" w:cstheme="majorBidi"/>
      <w:spacing w:val="5"/>
      <w:sz w:val="52"/>
      <w:szCs w:val="52"/>
      <w:lang w:bidi="en-US"/>
    </w:rPr>
  </w:style>
  <w:style w:type="character" w:customStyle="1" w:styleId="TitreCar">
    <w:name w:val="Titre Car"/>
    <w:basedOn w:val="Policepardfaut"/>
    <w:link w:val="Titre"/>
    <w:uiPriority w:val="98"/>
    <w:rsid w:val="00760E8D"/>
    <w:rPr>
      <w:rFonts w:asciiTheme="majorHAnsi" w:eastAsiaTheme="majorEastAsia" w:hAnsiTheme="majorHAnsi" w:cstheme="majorBidi"/>
      <w:spacing w:val="5"/>
      <w:sz w:val="52"/>
      <w:szCs w:val="52"/>
      <w:lang w:bidi="en-US"/>
    </w:rPr>
  </w:style>
  <w:style w:type="numbering" w:customStyle="1" w:styleId="ECHRA1StyleNumberedList">
    <w:name w:val="ECHR_A1_Style_Numbered_List"/>
    <w:basedOn w:val="Aucuneliste"/>
    <w:rsid w:val="00760E8D"/>
    <w:pPr>
      <w:numPr>
        <w:numId w:val="7"/>
      </w:numPr>
    </w:pPr>
  </w:style>
  <w:style w:type="table" w:customStyle="1" w:styleId="ECHRTable2019">
    <w:name w:val="ECHR_Table_2019"/>
    <w:basedOn w:val="TableauNormal"/>
    <w:uiPriority w:val="99"/>
    <w:rsid w:val="00760E8D"/>
    <w:pPr>
      <w:spacing w:after="0" w:line="240" w:lineRule="auto"/>
    </w:pPr>
    <w:rPr>
      <w:sz w:val="24"/>
      <w:szCs w:val="24"/>
      <w:lang w:val="en-US"/>
    </w:rPr>
    <w:tblPr>
      <w:tblStyleRowBandSize w:val="1"/>
      <w:tblStyleColBandSize w:val="1"/>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rPr>
      <w:jc w:val="center"/>
    </w:trPr>
    <w:tblStylePr w:type="firstRow">
      <w:rPr>
        <w:rFonts w:asciiTheme="majorHAnsi" w:hAnsiTheme="majorHAnsi"/>
        <w:b/>
        <w:i w:val="0"/>
        <w:color w:val="auto"/>
        <w:sz w:val="22"/>
      </w:rPr>
      <w:tblPr/>
      <w:tcPr>
        <w:shd w:val="clear" w:color="auto" w:fill="EDEDED" w:themeFill="accent3" w:themeFillTint="33"/>
      </w:tcPr>
    </w:tblStylePr>
    <w:tblStylePr w:type="lastRow">
      <w:rPr>
        <w:b/>
        <w:i w:val="0"/>
      </w:rPr>
      <w:tblPr/>
      <w:tcPr>
        <w:tcBorders>
          <w:top w:val="single" w:sz="8" w:space="0" w:color="A5A5A5" w:themeColor="accent3"/>
          <w:left w:val="single" w:sz="4" w:space="0" w:color="A5A5A5" w:themeColor="accent3"/>
          <w:bottom w:val="single" w:sz="8" w:space="0" w:color="A5A5A5" w:themeColor="accent3"/>
          <w:right w:val="single" w:sz="4" w:space="0" w:color="A5A5A5" w:themeColor="accent3"/>
          <w:insideH w:val="nil"/>
          <w:insideV w:val="single" w:sz="4" w:space="0" w:color="A5A5A5" w:themeColor="accent3"/>
          <w:tl2br w:val="nil"/>
          <w:tr2bl w:val="nil"/>
        </w:tcBorders>
      </w:tcPr>
    </w:tblStylePr>
    <w:tblStylePr w:type="firstCol">
      <w:rPr>
        <w:rFonts w:asciiTheme="majorHAnsi" w:hAnsiTheme="majorHAnsi"/>
        <w:b/>
        <w:i w:val="0"/>
        <w:color w:val="3B3838" w:themeColor="background2" w:themeShade="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l2br w:val="nil"/>
          <w:tr2bl w:val="nil"/>
        </w:tcBorders>
        <w:shd w:val="clear" w:color="auto" w:fill="D5DCE4" w:themeFill="text2" w:themeFillTint="33"/>
      </w:tcPr>
    </w:tblStylePr>
    <w:tblStylePr w:type="lastCol">
      <w:rPr>
        <w:b/>
        <w:i w:val="0"/>
      </w:rPr>
    </w:tblStylePr>
    <w:tblStylePr w:type="band2Vert">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l2br w:val="nil"/>
          <w:tr2bl w:val="nil"/>
        </w:tcBorders>
        <w:shd w:val="clear" w:color="auto" w:fill="D5DCE4" w:themeFill="text2" w:themeFillTint="33"/>
      </w:tcPr>
    </w:tblStylePr>
    <w:tblStylePr w:type="band2Horz">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D5DCE4" w:themeFill="text2" w:themeFillTint="33"/>
      </w:tcPr>
    </w:tblStylePr>
  </w:style>
  <w:style w:type="paragraph" w:customStyle="1" w:styleId="Footer">
    <w:name w:val="_Footer"/>
    <w:aliases w:val="Footer_"/>
    <w:basedOn w:val="Pieddepage"/>
    <w:uiPriority w:val="57"/>
    <w:semiHidden/>
    <w:rsid w:val="00760E8D"/>
    <w:rPr>
      <w:sz w:val="8"/>
    </w:rPr>
  </w:style>
  <w:style w:type="paragraph" w:customStyle="1" w:styleId="JuCourt">
    <w:name w:val="Ju_Court"/>
    <w:aliases w:val="_Court_Names"/>
    <w:basedOn w:val="Normal"/>
    <w:next w:val="Normal"/>
    <w:uiPriority w:val="32"/>
    <w:qFormat/>
    <w:rsid w:val="00760E8D"/>
    <w:pPr>
      <w:tabs>
        <w:tab w:val="left" w:pos="907"/>
        <w:tab w:val="left" w:pos="1701"/>
        <w:tab w:val="right" w:pos="7371"/>
      </w:tabs>
      <w:spacing w:before="240" w:after="0" w:line="240" w:lineRule="auto"/>
      <w:ind w:left="397" w:hanging="397"/>
    </w:pPr>
    <w:rPr>
      <w:sz w:val="24"/>
      <w:szCs w:val="24"/>
      <w:lang w:bidi="en-US"/>
    </w:rPr>
  </w:style>
  <w:style w:type="paragraph" w:customStyle="1" w:styleId="JuInitialled">
    <w:name w:val="Ju_Initialled"/>
    <w:aliases w:val="_Right"/>
    <w:basedOn w:val="Normal"/>
    <w:uiPriority w:val="30"/>
    <w:qFormat/>
    <w:rsid w:val="00760E8D"/>
    <w:pPr>
      <w:tabs>
        <w:tab w:val="center" w:pos="6407"/>
      </w:tabs>
      <w:spacing w:before="720" w:after="0" w:line="240" w:lineRule="auto"/>
      <w:jc w:val="right"/>
    </w:pPr>
    <w:rPr>
      <w:sz w:val="24"/>
      <w:szCs w:val="24"/>
    </w:rPr>
  </w:style>
  <w:style w:type="paragraph" w:customStyle="1" w:styleId="JuHIRoman">
    <w:name w:val="Ju_H_I_Roman"/>
    <w:aliases w:val="_Head_2"/>
    <w:basedOn w:val="Titre2"/>
    <w:next w:val="ECHRPara"/>
    <w:uiPriority w:val="17"/>
    <w:qFormat/>
    <w:rsid w:val="00760E8D"/>
    <w:pPr>
      <w:numPr>
        <w:ilvl w:val="0"/>
        <w:numId w:val="0"/>
      </w:numPr>
      <w:tabs>
        <w:tab w:val="left" w:pos="454"/>
        <w:tab w:val="left" w:pos="567"/>
        <w:tab w:val="left" w:pos="680"/>
      </w:tabs>
      <w:spacing w:before="100" w:beforeAutospacing="1" w:after="240" w:line="240" w:lineRule="auto"/>
      <w:ind w:left="397" w:hanging="397"/>
      <w:jc w:val="both"/>
    </w:pPr>
    <w:rPr>
      <w:bCs/>
      <w:caps/>
      <w:color w:val="auto"/>
      <w:sz w:val="24"/>
    </w:rPr>
  </w:style>
  <w:style w:type="paragraph" w:customStyle="1" w:styleId="JuHA">
    <w:name w:val="Ju_H_A"/>
    <w:aliases w:val="_Head_3"/>
    <w:basedOn w:val="Titre3"/>
    <w:next w:val="ECHRPara"/>
    <w:uiPriority w:val="17"/>
    <w:qFormat/>
    <w:rsid w:val="00760E8D"/>
    <w:pPr>
      <w:numPr>
        <w:ilvl w:val="0"/>
        <w:numId w:val="0"/>
      </w:numPr>
      <w:spacing w:before="100" w:beforeAutospacing="1" w:after="240" w:line="240" w:lineRule="auto"/>
      <w:ind w:left="510" w:hanging="340"/>
      <w:jc w:val="both"/>
    </w:pPr>
    <w:rPr>
      <w:b/>
      <w:bCs/>
      <w:color w:val="auto"/>
      <w:szCs w:val="22"/>
    </w:rPr>
  </w:style>
  <w:style w:type="paragraph" w:styleId="En-tte">
    <w:name w:val="header"/>
    <w:basedOn w:val="Normal"/>
    <w:link w:val="En-tteCar"/>
    <w:uiPriority w:val="98"/>
    <w:semiHidden/>
    <w:rsid w:val="00760E8D"/>
    <w:pPr>
      <w:tabs>
        <w:tab w:val="center" w:pos="4536"/>
        <w:tab w:val="right" w:pos="9072"/>
      </w:tabs>
      <w:spacing w:after="0" w:line="240" w:lineRule="auto"/>
    </w:pPr>
    <w:rPr>
      <w:sz w:val="24"/>
      <w:szCs w:val="24"/>
    </w:rPr>
  </w:style>
  <w:style w:type="character" w:customStyle="1" w:styleId="En-tteCar">
    <w:name w:val="En-tête Car"/>
    <w:basedOn w:val="Policepardfaut"/>
    <w:link w:val="En-tte"/>
    <w:uiPriority w:val="98"/>
    <w:semiHidden/>
    <w:rsid w:val="00760E8D"/>
    <w:rPr>
      <w:sz w:val="24"/>
      <w:szCs w:val="24"/>
    </w:rPr>
  </w:style>
  <w:style w:type="paragraph" w:customStyle="1" w:styleId="JuHi">
    <w:name w:val="Ju_H_i"/>
    <w:aliases w:val="_Head_6"/>
    <w:basedOn w:val="Titre6"/>
    <w:next w:val="ECHRPara"/>
    <w:uiPriority w:val="17"/>
    <w:rsid w:val="00760E8D"/>
    <w:pPr>
      <w:numPr>
        <w:ilvl w:val="0"/>
        <w:numId w:val="0"/>
      </w:numPr>
      <w:tabs>
        <w:tab w:val="left" w:pos="1077"/>
        <w:tab w:val="left" w:pos="1134"/>
        <w:tab w:val="left" w:pos="1191"/>
        <w:tab w:val="left" w:pos="1247"/>
      </w:tabs>
      <w:spacing w:before="100" w:beforeAutospacing="1" w:after="120" w:line="271" w:lineRule="auto"/>
      <w:ind w:left="1021" w:hanging="341"/>
      <w:jc w:val="both"/>
    </w:pPr>
    <w:rPr>
      <w:bCs/>
      <w:i/>
      <w:iCs/>
      <w:color w:val="auto"/>
      <w:sz w:val="20"/>
      <w:lang w:bidi="en-US"/>
    </w:rPr>
  </w:style>
  <w:style w:type="paragraph" w:customStyle="1" w:styleId="JuHalpha">
    <w:name w:val="Ju_H_alpha"/>
    <w:aliases w:val="_Head_7"/>
    <w:basedOn w:val="Titre7"/>
    <w:next w:val="ECHRPara"/>
    <w:uiPriority w:val="17"/>
    <w:rsid w:val="00760E8D"/>
    <w:pPr>
      <w:numPr>
        <w:ilvl w:val="0"/>
        <w:numId w:val="0"/>
      </w:numPr>
      <w:tabs>
        <w:tab w:val="left" w:pos="1361"/>
      </w:tabs>
      <w:spacing w:before="100" w:beforeAutospacing="1" w:after="120" w:line="240" w:lineRule="auto"/>
      <w:ind w:left="1247" w:hanging="396"/>
      <w:jc w:val="both"/>
    </w:pPr>
    <w:rPr>
      <w:i w:val="0"/>
      <w:color w:val="auto"/>
      <w:sz w:val="20"/>
      <w:lang w:bidi="en-US"/>
    </w:rPr>
  </w:style>
  <w:style w:type="paragraph" w:customStyle="1" w:styleId="JuH">
    <w:name w:val="Ju_H_–"/>
    <w:aliases w:val="_Head_8"/>
    <w:basedOn w:val="Titre8"/>
    <w:next w:val="ECHRPara"/>
    <w:uiPriority w:val="17"/>
    <w:rsid w:val="00760E8D"/>
    <w:pPr>
      <w:numPr>
        <w:ilvl w:val="0"/>
        <w:numId w:val="0"/>
      </w:numPr>
      <w:spacing w:before="100" w:beforeAutospacing="1" w:after="120" w:line="240" w:lineRule="auto"/>
      <w:ind w:left="1247" w:hanging="226"/>
      <w:jc w:val="both"/>
    </w:pPr>
    <w:rPr>
      <w:i/>
      <w:color w:val="auto"/>
      <w:sz w:val="20"/>
      <w:szCs w:val="20"/>
      <w:lang w:bidi="en-US"/>
    </w:rPr>
  </w:style>
  <w:style w:type="paragraph" w:customStyle="1" w:styleId="JuParaLast">
    <w:name w:val="Ju_Para_Last"/>
    <w:aliases w:val="_Para_Spaced"/>
    <w:basedOn w:val="NormalJustified"/>
    <w:uiPriority w:val="5"/>
    <w:qFormat/>
    <w:rsid w:val="00760E8D"/>
    <w:pPr>
      <w:keepNext/>
      <w:keepLines/>
      <w:spacing w:before="240" w:after="240"/>
      <w:ind w:firstLine="284"/>
    </w:pPr>
  </w:style>
  <w:style w:type="paragraph" w:customStyle="1" w:styleId="JuJudges">
    <w:name w:val="Ju_Judges"/>
    <w:aliases w:val="_Judges"/>
    <w:basedOn w:val="Normal"/>
    <w:uiPriority w:val="32"/>
    <w:qFormat/>
    <w:rsid w:val="00760E8D"/>
    <w:pPr>
      <w:tabs>
        <w:tab w:val="left" w:pos="567"/>
        <w:tab w:val="left" w:pos="1134"/>
      </w:tabs>
      <w:spacing w:after="0" w:line="240" w:lineRule="auto"/>
    </w:pPr>
    <w:rPr>
      <w:sz w:val="24"/>
      <w:szCs w:val="24"/>
    </w:rPr>
  </w:style>
  <w:style w:type="character" w:customStyle="1" w:styleId="JuITMark">
    <w:name w:val="Ju_ITMark"/>
    <w:aliases w:val="_ITMark"/>
    <w:basedOn w:val="Policepardfaut"/>
    <w:uiPriority w:val="54"/>
    <w:qFormat/>
    <w:rsid w:val="00760E8D"/>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760E8D"/>
    <w:rPr>
      <w:caps w:val="0"/>
      <w:smallCaps/>
    </w:rPr>
  </w:style>
  <w:style w:type="paragraph" w:customStyle="1" w:styleId="NormalJustified">
    <w:name w:val="Normal_Justified"/>
    <w:basedOn w:val="Normal"/>
    <w:semiHidden/>
    <w:rsid w:val="00760E8D"/>
    <w:pPr>
      <w:spacing w:after="0" w:line="240" w:lineRule="auto"/>
      <w:jc w:val="both"/>
    </w:pPr>
    <w:rPr>
      <w:sz w:val="24"/>
      <w:szCs w:val="24"/>
    </w:rPr>
  </w:style>
  <w:style w:type="character" w:styleId="Accentuationlgre">
    <w:name w:val="Subtle Emphasis"/>
    <w:uiPriority w:val="98"/>
    <w:qFormat/>
    <w:rsid w:val="00760E8D"/>
    <w:rPr>
      <w:i/>
      <w:iCs/>
    </w:rPr>
  </w:style>
  <w:style w:type="table" w:customStyle="1" w:styleId="ECHRTable">
    <w:name w:val="ECHR_Table"/>
    <w:basedOn w:val="TableauNormal"/>
    <w:rsid w:val="00760E8D"/>
    <w:pPr>
      <w:spacing w:after="0" w:line="240" w:lineRule="auto"/>
    </w:pPr>
    <w:rPr>
      <w:rFonts w:eastAsia="Times New Roman" w:cs="Times New Roman"/>
      <w:sz w:val="20"/>
      <w:szCs w:val="20"/>
      <w:lang w:val="en-GB"/>
    </w:rPr>
    <w:tblPr>
      <w:tblStyleRowBandSize w:val="1"/>
      <w:tblStyleColBandSize w:val="1"/>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rFonts w:asciiTheme="majorHAnsi" w:hAnsiTheme="majorHAnsi"/>
        <w:b/>
        <w:i w:val="0"/>
        <w:color w:val="7B7B7B" w:themeColor="accent3" w:themeShade="BF"/>
        <w:sz w:val="22"/>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shd w:val="clear" w:color="auto" w:fill="D0CECE"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0CECE" w:themeFill="background2" w:themeFillShade="E6"/>
      </w:tcPr>
    </w:tblStylePr>
    <w:tblStylePr w:type="band2Horz">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shd w:val="clear" w:color="auto" w:fill="D0CECE" w:themeFill="background2" w:themeFillShade="E6"/>
      </w:tcPr>
    </w:tblStylePr>
  </w:style>
  <w:style w:type="table" w:customStyle="1" w:styleId="ECHRTableBoxHeader">
    <w:name w:val="ECHR_Table_Box_Header"/>
    <w:basedOn w:val="TableauNormal"/>
    <w:rsid w:val="00760E8D"/>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E7E6E6" w:themeFill="background2"/>
    </w:tcPr>
    <w:tblStylePr w:type="firstCol">
      <w:rPr>
        <w:b/>
        <w:color w:val="A5A5A5" w:themeColor="accent3"/>
      </w:rPr>
    </w:tblStylePr>
  </w:style>
  <w:style w:type="character" w:styleId="Accentuation">
    <w:name w:val="Emphasis"/>
    <w:uiPriority w:val="98"/>
    <w:qFormat/>
    <w:rsid w:val="00760E8D"/>
    <w:rPr>
      <w:b/>
      <w:bCs/>
      <w:i/>
      <w:iCs/>
      <w:spacing w:val="10"/>
      <w:bdr w:val="none" w:sz="0" w:space="0" w:color="auto"/>
      <w:shd w:val="clear" w:color="auto" w:fill="auto"/>
    </w:rPr>
  </w:style>
  <w:style w:type="paragraph" w:styleId="Pieddepage">
    <w:name w:val="footer"/>
    <w:basedOn w:val="Normal"/>
    <w:link w:val="PieddepageCar"/>
    <w:uiPriority w:val="98"/>
    <w:semiHidden/>
    <w:rsid w:val="00760E8D"/>
    <w:pPr>
      <w:tabs>
        <w:tab w:val="center" w:pos="3686"/>
        <w:tab w:val="right" w:pos="7371"/>
      </w:tabs>
      <w:spacing w:after="0" w:line="240" w:lineRule="auto"/>
    </w:pPr>
    <w:rPr>
      <w:sz w:val="24"/>
      <w:szCs w:val="24"/>
    </w:rPr>
  </w:style>
  <w:style w:type="character" w:customStyle="1" w:styleId="PieddepageCar">
    <w:name w:val="Pied de page Car"/>
    <w:basedOn w:val="Policepardfaut"/>
    <w:link w:val="Pieddepage"/>
    <w:uiPriority w:val="98"/>
    <w:semiHidden/>
    <w:rsid w:val="00760E8D"/>
    <w:rPr>
      <w:sz w:val="24"/>
      <w:szCs w:val="24"/>
    </w:rPr>
  </w:style>
  <w:style w:type="character" w:styleId="Appelnotedebasdep">
    <w:name w:val="footnote reference"/>
    <w:basedOn w:val="Policepardfaut"/>
    <w:uiPriority w:val="98"/>
    <w:semiHidden/>
    <w:rsid w:val="00760E8D"/>
    <w:rPr>
      <w:vertAlign w:val="superscript"/>
    </w:rPr>
  </w:style>
  <w:style w:type="paragraph" w:styleId="Notedebasdepage">
    <w:name w:val="footnote text"/>
    <w:basedOn w:val="Normal"/>
    <w:link w:val="NotedebasdepageCar"/>
    <w:uiPriority w:val="98"/>
    <w:semiHidden/>
    <w:rsid w:val="00760E8D"/>
    <w:pPr>
      <w:spacing w:after="0" w:line="240" w:lineRule="auto"/>
    </w:pPr>
    <w:rPr>
      <w:sz w:val="20"/>
      <w:szCs w:val="20"/>
    </w:rPr>
  </w:style>
  <w:style w:type="character" w:customStyle="1" w:styleId="NotedebasdepageCar">
    <w:name w:val="Note de bas de page Car"/>
    <w:basedOn w:val="Policepardfaut"/>
    <w:link w:val="Notedebasdepage"/>
    <w:uiPriority w:val="98"/>
    <w:semiHidden/>
    <w:rsid w:val="00760E8D"/>
    <w:rPr>
      <w:sz w:val="20"/>
      <w:szCs w:val="20"/>
    </w:rPr>
  </w:style>
  <w:style w:type="character" w:styleId="Lienhypertexte">
    <w:name w:val="Hyperlink"/>
    <w:basedOn w:val="Policepardfaut"/>
    <w:uiPriority w:val="98"/>
    <w:semiHidden/>
    <w:rsid w:val="00760E8D"/>
    <w:rPr>
      <w:color w:val="0563C1" w:themeColor="hyperlink"/>
      <w:u w:val="single"/>
    </w:rPr>
  </w:style>
  <w:style w:type="character" w:styleId="Accentuationintense">
    <w:name w:val="Intense Emphasis"/>
    <w:uiPriority w:val="98"/>
    <w:qFormat/>
    <w:rsid w:val="00760E8D"/>
    <w:rPr>
      <w:b/>
      <w:bCs/>
    </w:rPr>
  </w:style>
  <w:style w:type="paragraph" w:styleId="Citationintense">
    <w:name w:val="Intense Quote"/>
    <w:basedOn w:val="Normal"/>
    <w:next w:val="Normal"/>
    <w:link w:val="CitationintenseCar"/>
    <w:uiPriority w:val="98"/>
    <w:qFormat/>
    <w:rsid w:val="00760E8D"/>
    <w:pPr>
      <w:pBdr>
        <w:bottom w:val="single" w:sz="4" w:space="1" w:color="auto"/>
      </w:pBdr>
      <w:spacing w:before="200" w:after="280" w:line="240" w:lineRule="auto"/>
      <w:ind w:left="1008" w:right="1152"/>
    </w:pPr>
    <w:rPr>
      <w:b/>
      <w:bCs/>
      <w:i/>
      <w:iCs/>
      <w:sz w:val="24"/>
      <w:szCs w:val="24"/>
      <w:lang w:bidi="en-US"/>
    </w:rPr>
  </w:style>
  <w:style w:type="character" w:customStyle="1" w:styleId="CitationintenseCar">
    <w:name w:val="Citation intense Car"/>
    <w:basedOn w:val="Policepardfaut"/>
    <w:link w:val="Citationintense"/>
    <w:uiPriority w:val="98"/>
    <w:rsid w:val="00760E8D"/>
    <w:rPr>
      <w:b/>
      <w:bCs/>
      <w:i/>
      <w:iCs/>
      <w:sz w:val="24"/>
      <w:szCs w:val="24"/>
      <w:lang w:bidi="en-US"/>
    </w:rPr>
  </w:style>
  <w:style w:type="character" w:styleId="Rfrenceintense">
    <w:name w:val="Intense Reference"/>
    <w:uiPriority w:val="98"/>
    <w:qFormat/>
    <w:rsid w:val="00760E8D"/>
    <w:rPr>
      <w:smallCaps/>
      <w:spacing w:val="5"/>
      <w:u w:val="single"/>
    </w:rPr>
  </w:style>
  <w:style w:type="paragraph" w:styleId="Paragraphedeliste">
    <w:name w:val="List Paragraph"/>
    <w:basedOn w:val="Normal"/>
    <w:uiPriority w:val="98"/>
    <w:qFormat/>
    <w:rsid w:val="00760E8D"/>
    <w:pPr>
      <w:spacing w:after="0" w:line="240" w:lineRule="auto"/>
      <w:ind w:left="720"/>
      <w:contextualSpacing/>
    </w:pPr>
    <w:rPr>
      <w:sz w:val="24"/>
      <w:szCs w:val="24"/>
    </w:rPr>
  </w:style>
  <w:style w:type="table" w:customStyle="1" w:styleId="LtrTableAddress">
    <w:name w:val="Ltr_Table_Address"/>
    <w:aliases w:val="ECHR_Ltr_Table_Address"/>
    <w:basedOn w:val="TableauNormal"/>
    <w:uiPriority w:val="99"/>
    <w:rsid w:val="00760E8D"/>
    <w:pPr>
      <w:spacing w:after="0" w:line="240" w:lineRule="auto"/>
    </w:pPr>
    <w:rPr>
      <w:sz w:val="24"/>
      <w:szCs w:val="24"/>
      <w:lang w:val="en-US"/>
    </w:rPr>
    <w:tblPr>
      <w:tblInd w:w="5103" w:type="dxa"/>
    </w:tblPr>
  </w:style>
  <w:style w:type="paragraph" w:styleId="Citation">
    <w:name w:val="Quote"/>
    <w:basedOn w:val="Normal"/>
    <w:next w:val="Normal"/>
    <w:link w:val="CitationCar"/>
    <w:uiPriority w:val="98"/>
    <w:qFormat/>
    <w:rsid w:val="00760E8D"/>
    <w:pPr>
      <w:spacing w:before="200" w:after="0" w:line="240" w:lineRule="auto"/>
      <w:ind w:left="360" w:right="360"/>
    </w:pPr>
    <w:rPr>
      <w:i/>
      <w:iCs/>
      <w:sz w:val="24"/>
      <w:szCs w:val="24"/>
      <w:lang w:bidi="en-US"/>
    </w:rPr>
  </w:style>
  <w:style w:type="character" w:customStyle="1" w:styleId="CitationCar">
    <w:name w:val="Citation Car"/>
    <w:basedOn w:val="Policepardfaut"/>
    <w:link w:val="Citation"/>
    <w:uiPriority w:val="98"/>
    <w:rsid w:val="00760E8D"/>
    <w:rPr>
      <w:i/>
      <w:iCs/>
      <w:sz w:val="24"/>
      <w:szCs w:val="24"/>
      <w:lang w:bidi="en-US"/>
    </w:rPr>
  </w:style>
  <w:style w:type="character" w:styleId="Rfrencelgre">
    <w:name w:val="Subtle Reference"/>
    <w:uiPriority w:val="98"/>
    <w:qFormat/>
    <w:rsid w:val="00760E8D"/>
    <w:rPr>
      <w:smallCaps/>
    </w:rPr>
  </w:style>
  <w:style w:type="table" w:styleId="Grilledutableau">
    <w:name w:val="Table Grid"/>
    <w:basedOn w:val="TableauNormal"/>
    <w:uiPriority w:val="59"/>
    <w:rsid w:val="00760E8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98"/>
    <w:semiHidden/>
    <w:rsid w:val="00760E8D"/>
    <w:pPr>
      <w:keepNext/>
      <w:tabs>
        <w:tab w:val="right" w:leader="dot" w:pos="7371"/>
      </w:tabs>
      <w:spacing w:before="160" w:after="60" w:line="240" w:lineRule="exact"/>
      <w:ind w:left="340" w:right="567" w:hanging="340"/>
    </w:pPr>
    <w:rPr>
      <w:b/>
      <w:szCs w:val="24"/>
    </w:rPr>
  </w:style>
  <w:style w:type="paragraph" w:styleId="TM2">
    <w:name w:val="toc 2"/>
    <w:basedOn w:val="Normal"/>
    <w:next w:val="Normal"/>
    <w:autoRedefine/>
    <w:uiPriority w:val="98"/>
    <w:semiHidden/>
    <w:rsid w:val="00760E8D"/>
    <w:pPr>
      <w:keepNext/>
      <w:tabs>
        <w:tab w:val="right" w:leader="dot" w:pos="7371"/>
      </w:tabs>
      <w:spacing w:after="60" w:line="240" w:lineRule="exact"/>
      <w:ind w:left="680" w:right="567" w:hanging="340"/>
    </w:pPr>
    <w:rPr>
      <w:szCs w:val="24"/>
    </w:rPr>
  </w:style>
  <w:style w:type="paragraph" w:styleId="TM3">
    <w:name w:val="toc 3"/>
    <w:basedOn w:val="Normal"/>
    <w:next w:val="Normal"/>
    <w:autoRedefine/>
    <w:uiPriority w:val="98"/>
    <w:semiHidden/>
    <w:rsid w:val="00760E8D"/>
    <w:pPr>
      <w:keepNext/>
      <w:tabs>
        <w:tab w:val="right" w:leader="dot" w:pos="7371"/>
      </w:tabs>
      <w:spacing w:after="60" w:line="240" w:lineRule="exact"/>
      <w:ind w:left="1020" w:right="567" w:hanging="340"/>
    </w:pPr>
    <w:rPr>
      <w:sz w:val="20"/>
      <w:szCs w:val="24"/>
    </w:rPr>
  </w:style>
  <w:style w:type="paragraph" w:styleId="TM4">
    <w:name w:val="toc 4"/>
    <w:basedOn w:val="Normal"/>
    <w:next w:val="Normal"/>
    <w:autoRedefine/>
    <w:uiPriority w:val="98"/>
    <w:semiHidden/>
    <w:rsid w:val="00760E8D"/>
    <w:pPr>
      <w:keepNext/>
      <w:tabs>
        <w:tab w:val="right" w:leader="dot" w:pos="7371"/>
      </w:tabs>
      <w:spacing w:after="60" w:line="240" w:lineRule="exact"/>
      <w:ind w:left="1361" w:right="567" w:hanging="340"/>
    </w:pPr>
    <w:rPr>
      <w:sz w:val="20"/>
      <w:szCs w:val="24"/>
    </w:rPr>
  </w:style>
  <w:style w:type="paragraph" w:styleId="TM5">
    <w:name w:val="toc 5"/>
    <w:basedOn w:val="Normal"/>
    <w:next w:val="Normal"/>
    <w:autoRedefine/>
    <w:uiPriority w:val="98"/>
    <w:semiHidden/>
    <w:rsid w:val="00760E8D"/>
    <w:pPr>
      <w:tabs>
        <w:tab w:val="right" w:leader="dot" w:pos="7371"/>
      </w:tabs>
      <w:spacing w:after="60" w:line="240" w:lineRule="exact"/>
      <w:ind w:left="1701" w:right="567" w:hanging="340"/>
    </w:pPr>
    <w:rPr>
      <w:sz w:val="20"/>
      <w:szCs w:val="24"/>
    </w:rPr>
  </w:style>
  <w:style w:type="paragraph" w:styleId="En-ttedetabledesmatires">
    <w:name w:val="TOC Heading"/>
    <w:basedOn w:val="Normal"/>
    <w:next w:val="Normal"/>
    <w:uiPriority w:val="98"/>
    <w:semiHidden/>
    <w:qFormat/>
    <w:rsid w:val="00760E8D"/>
    <w:pPr>
      <w:keepNext/>
      <w:keepLines/>
      <w:spacing w:before="240" w:after="0" w:line="240" w:lineRule="auto"/>
      <w:contextualSpacing/>
      <w:jc w:val="center"/>
    </w:pPr>
    <w:rPr>
      <w:rFonts w:asciiTheme="majorHAnsi" w:hAnsiTheme="majorHAnsi"/>
      <w:b/>
      <w:color w:val="7B7B7B" w:themeColor="accent3" w:themeShade="BF"/>
      <w:sz w:val="28"/>
      <w:szCs w:val="24"/>
    </w:rPr>
  </w:style>
  <w:style w:type="table" w:customStyle="1" w:styleId="UGTable">
    <w:name w:val="UG_Table"/>
    <w:aliases w:val="ECHR_UG_Table"/>
    <w:basedOn w:val="TableauNormal"/>
    <w:uiPriority w:val="99"/>
    <w:rsid w:val="00760E8D"/>
    <w:pPr>
      <w:spacing w:after="0" w:line="240" w:lineRule="auto"/>
    </w:pPr>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auNormal"/>
    <w:uiPriority w:val="99"/>
    <w:rsid w:val="00760E8D"/>
    <w:pPr>
      <w:spacing w:after="0" w:line="240" w:lineRule="auto"/>
    </w:pPr>
    <w:rPr>
      <w:rFonts w:eastAsiaTheme="minorEastAsia"/>
      <w:sz w:val="24"/>
      <w:szCs w:val="24"/>
      <w:lang w:val="en-GB" w:eastAsia="en-GB"/>
    </w:rPr>
    <w:tblP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auNormal"/>
    <w:uiPriority w:val="99"/>
    <w:rsid w:val="00760E8D"/>
    <w:pPr>
      <w:spacing w:after="0" w:line="240" w:lineRule="auto"/>
    </w:pPr>
    <w:rPr>
      <w:color w:val="000000" w:themeColor="text1"/>
      <w:sz w:val="18"/>
      <w:szCs w:val="24"/>
      <w:lang w:val="en-US"/>
    </w:rPr>
    <w:tblPr>
      <w:tbl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insideH w:val="single" w:sz="8" w:space="0" w:color="C9C9C9" w:themeColor="accent3" w:themeTint="99"/>
        <w:insideV w:val="single" w:sz="8" w:space="0" w:color="C9C9C9"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4472C4" w:themeFill="accent1"/>
        <w:vAlign w:val="center"/>
      </w:tcPr>
    </w:tblStylePr>
    <w:tblStylePr w:type="firstCol">
      <w:pPr>
        <w:jc w:val="left"/>
      </w:pPr>
      <w:tblPr/>
      <w:tcPr>
        <w:vAlign w:val="center"/>
      </w:tcPr>
    </w:tblStylePr>
  </w:style>
  <w:style w:type="table" w:customStyle="1" w:styleId="ECHRTableFax">
    <w:name w:val="ECHR_Table_Fax"/>
    <w:basedOn w:val="TableauNormal"/>
    <w:uiPriority w:val="99"/>
    <w:rsid w:val="00760E8D"/>
    <w:pPr>
      <w:spacing w:after="0" w:line="240" w:lineRule="auto"/>
    </w:pPr>
    <w:rPr>
      <w:color w:val="000000" w:themeColor="text1"/>
      <w:sz w:val="24"/>
      <w:szCs w:val="24"/>
      <w:lang w:val="en-US"/>
    </w:rPr>
    <w:tblPr>
      <w:tblInd w:w="-680" w:type="dxa"/>
      <w:tblBorders>
        <w:insideH w:val="single" w:sz="4" w:space="0" w:color="44546A" w:themeColor="text2"/>
        <w:insideV w:val="single" w:sz="4" w:space="0" w:color="44546A" w:themeColor="text2"/>
      </w:tblBorders>
      <w:tblCellMar>
        <w:top w:w="142" w:type="dxa"/>
        <w:bottom w:w="142" w:type="dxa"/>
      </w:tblCellMar>
    </w:tblPr>
    <w:trPr>
      <w:cantSplit/>
    </w:trPr>
  </w:style>
  <w:style w:type="table" w:customStyle="1" w:styleId="ECHRTableMemo">
    <w:name w:val="ECHR_Table_Memo"/>
    <w:basedOn w:val="TableauNormal"/>
    <w:uiPriority w:val="99"/>
    <w:rsid w:val="00760E8D"/>
    <w:pPr>
      <w:spacing w:after="0" w:line="240" w:lineRule="auto"/>
    </w:pPr>
    <w:rPr>
      <w:sz w:val="24"/>
      <w:szCs w:val="24"/>
      <w:lang w:val="en-US"/>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323E4F" w:themeColor="text2" w:themeShade="BF"/>
          <w:right w:val="nil"/>
          <w:insideH w:val="nil"/>
          <w:insideV w:val="nil"/>
          <w:tl2br w:val="nil"/>
          <w:tr2bl w:val="nil"/>
        </w:tcBorders>
      </w:tcPr>
    </w:tblStylePr>
  </w:style>
  <w:style w:type="table" w:customStyle="1" w:styleId="ECHRDNTable">
    <w:name w:val="ECHR_DN_Table"/>
    <w:basedOn w:val="TableauNormal"/>
    <w:uiPriority w:val="99"/>
    <w:rsid w:val="00760E8D"/>
    <w:pPr>
      <w:spacing w:after="0" w:line="240" w:lineRule="auto"/>
    </w:pPr>
    <w:rPr>
      <w:sz w:val="24"/>
      <w:szCs w:val="24"/>
      <w:lang w:val="en-US"/>
    </w:rPr>
    <w:tblPr>
      <w:jc w:val="center"/>
      <w:tblBorders>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7B7B7B" w:themeColor="accent3" w:themeShade="BF"/>
        <w:sz w:val="24"/>
      </w:rPr>
      <w:tblPr/>
      <w:tcPr>
        <w:tcBorders>
          <w:top w:val="single" w:sz="4" w:space="0" w:color="323E4F" w:themeColor="text2" w:themeShade="BF"/>
          <w:left w:val="single" w:sz="4" w:space="0" w:color="323E4F" w:themeColor="text2" w:themeShade="BF"/>
          <w:bottom w:val="nil"/>
          <w:right w:val="single" w:sz="4" w:space="0" w:color="323E4F" w:themeColor="text2" w:themeShade="BF"/>
          <w:insideH w:val="nil"/>
          <w:insideV w:val="nil"/>
          <w:tl2br w:val="nil"/>
          <w:tr2bl w:val="nil"/>
        </w:tcBorders>
        <w:shd w:val="clear" w:color="auto" w:fill="D0CECE" w:themeFill="background2" w:themeFillShade="E6"/>
      </w:tcPr>
    </w:tblStylePr>
  </w:style>
  <w:style w:type="paragraph" w:styleId="TitreTR">
    <w:name w:val="toa heading"/>
    <w:basedOn w:val="Normal"/>
    <w:next w:val="Normal"/>
    <w:uiPriority w:val="98"/>
    <w:semiHidden/>
    <w:rsid w:val="00760E8D"/>
    <w:pPr>
      <w:keepNext/>
      <w:keepLines/>
      <w:spacing w:before="240" w:after="0" w:line="240" w:lineRule="auto"/>
      <w:contextualSpacing/>
      <w:jc w:val="center"/>
    </w:pPr>
    <w:rPr>
      <w:rFonts w:asciiTheme="majorHAnsi" w:eastAsiaTheme="majorEastAsia" w:hAnsiTheme="majorHAnsi" w:cstheme="majorBidi"/>
      <w:b/>
      <w:bCs/>
      <w:color w:val="7B7B7B" w:themeColor="accent3" w:themeShade="BF"/>
      <w:sz w:val="28"/>
      <w:szCs w:val="24"/>
    </w:rPr>
  </w:style>
  <w:style w:type="paragraph" w:styleId="Sous-titre">
    <w:name w:val="Subtitle"/>
    <w:basedOn w:val="Normal"/>
    <w:next w:val="Normal"/>
    <w:link w:val="Sous-titreCar"/>
    <w:uiPriority w:val="98"/>
    <w:qFormat/>
    <w:rsid w:val="00760E8D"/>
    <w:pPr>
      <w:spacing w:after="600" w:line="240" w:lineRule="auto"/>
    </w:pPr>
    <w:rPr>
      <w:rFonts w:asciiTheme="majorHAnsi" w:eastAsiaTheme="majorEastAsia" w:hAnsiTheme="majorHAnsi" w:cstheme="majorBidi"/>
      <w:i/>
      <w:iCs/>
      <w:spacing w:val="13"/>
      <w:sz w:val="24"/>
      <w:szCs w:val="24"/>
      <w:lang w:bidi="en-US"/>
    </w:rPr>
  </w:style>
  <w:style w:type="character" w:customStyle="1" w:styleId="Sous-titreCar">
    <w:name w:val="Sous-titre Car"/>
    <w:basedOn w:val="Policepardfaut"/>
    <w:link w:val="Sous-titre"/>
    <w:uiPriority w:val="98"/>
    <w:rsid w:val="00760E8D"/>
    <w:rPr>
      <w:rFonts w:asciiTheme="majorHAnsi" w:eastAsiaTheme="majorEastAsia" w:hAnsiTheme="majorHAnsi" w:cstheme="majorBidi"/>
      <w:i/>
      <w:iCs/>
      <w:spacing w:val="13"/>
      <w:sz w:val="24"/>
      <w:szCs w:val="24"/>
      <w:lang w:bidi="en-US"/>
    </w:rPr>
  </w:style>
  <w:style w:type="numbering" w:styleId="111111">
    <w:name w:val="Outline List 2"/>
    <w:basedOn w:val="Aucuneliste"/>
    <w:uiPriority w:val="99"/>
    <w:semiHidden/>
    <w:unhideWhenUsed/>
    <w:rsid w:val="00760E8D"/>
    <w:pPr>
      <w:numPr>
        <w:numId w:val="3"/>
      </w:numPr>
    </w:pPr>
  </w:style>
  <w:style w:type="numbering" w:styleId="1ai">
    <w:name w:val="Outline List 1"/>
    <w:basedOn w:val="Aucuneliste"/>
    <w:uiPriority w:val="99"/>
    <w:semiHidden/>
    <w:unhideWhenUsed/>
    <w:rsid w:val="00760E8D"/>
    <w:pPr>
      <w:numPr>
        <w:numId w:val="4"/>
      </w:numPr>
    </w:pPr>
  </w:style>
  <w:style w:type="table" w:customStyle="1" w:styleId="ECHRTableSimpleBox">
    <w:name w:val="ECHR_Table_Simple_Box"/>
    <w:basedOn w:val="TableauNormal"/>
    <w:uiPriority w:val="99"/>
    <w:rsid w:val="00760E8D"/>
    <w:pPr>
      <w:spacing w:after="0" w:line="240" w:lineRule="auto"/>
    </w:pPr>
    <w:rPr>
      <w:sz w:val="24"/>
      <w:szCs w:val="24"/>
      <w:lang w:val="en-US"/>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blBorders>
      <w:tblCellMar>
        <w:top w:w="113" w:type="dxa"/>
        <w:bottom w:w="113" w:type="dxa"/>
      </w:tblCellMar>
    </w:tblPr>
  </w:style>
  <w:style w:type="table" w:customStyle="1" w:styleId="ECHRTableNoLines">
    <w:name w:val="ECHR_Table_No_Lines"/>
    <w:basedOn w:val="TableauNormal"/>
    <w:uiPriority w:val="99"/>
    <w:rsid w:val="00760E8D"/>
    <w:pPr>
      <w:spacing w:after="0" w:line="240" w:lineRule="auto"/>
    </w:pPr>
    <w:rPr>
      <w:sz w:val="24"/>
      <w:szCs w:val="24"/>
      <w:lang w:val="en-US"/>
    </w:rPr>
    <w:tblPr>
      <w:tblCellMar>
        <w:top w:w="85" w:type="dxa"/>
        <w:left w:w="142" w:type="dxa"/>
        <w:bottom w:w="28" w:type="dxa"/>
        <w:right w:w="142" w:type="dxa"/>
      </w:tblCellMar>
    </w:tblPr>
    <w:tblStylePr w:type="firstRow">
      <w:rPr>
        <w:rFonts w:asciiTheme="majorHAnsi" w:hAnsiTheme="majorHAnsi"/>
        <w:b/>
        <w:i w:val="0"/>
        <w:color w:val="7B7B7B" w:themeColor="accent3" w:themeShade="BF"/>
        <w:sz w:val="24"/>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nil"/>
          <w:insideV w:val="nil"/>
          <w:tl2br w:val="nil"/>
          <w:tr2bl w:val="nil"/>
        </w:tcBorders>
        <w:shd w:val="clear" w:color="auto" w:fill="D0CECE" w:themeFill="background2" w:themeFillShade="E6"/>
      </w:tcPr>
    </w:tblStylePr>
    <w:tblStylePr w:type="firstCol">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tcPr>
    </w:tblStylePr>
  </w:style>
  <w:style w:type="table" w:customStyle="1" w:styleId="ECHRTableForInternalUse">
    <w:name w:val="ECHR_Table_For_Internal_Use"/>
    <w:basedOn w:val="TableauNormal"/>
    <w:uiPriority w:val="99"/>
    <w:rsid w:val="00760E8D"/>
    <w:pPr>
      <w:spacing w:after="0" w:line="240" w:lineRule="auto"/>
    </w:pPr>
    <w:rPr>
      <w:color w:val="222A35" w:themeColor="text2" w:themeShade="80"/>
      <w:sz w:val="18"/>
      <w:szCs w:val="24"/>
      <w:lang w:val="en-US"/>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tcPr>
    </w:tblStylePr>
    <w:tblStylePr w:type="band1Vert">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tcPr>
    </w:tblStylePr>
  </w:style>
  <w:style w:type="table" w:customStyle="1" w:styleId="ECHRListTable">
    <w:name w:val="ECHR_List_Table"/>
    <w:basedOn w:val="TableauNormal"/>
    <w:uiPriority w:val="99"/>
    <w:rsid w:val="00760E8D"/>
    <w:pPr>
      <w:spacing w:after="0" w:line="240" w:lineRule="auto"/>
    </w:pPr>
    <w:rPr>
      <w:sz w:val="24"/>
      <w:szCs w:val="24"/>
      <w:lang w:val="en-US"/>
    </w:r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b/>
        <w:color w:val="7B7B7B" w:themeColor="accent3" w:themeShade="BF"/>
      </w:rPr>
      <w:tblPr/>
      <w:trPr>
        <w:tblHeader/>
      </w:tr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shd w:val="clear" w:color="auto" w:fill="D0CECE" w:themeFill="background2" w:themeFillShade="E6"/>
      </w:tcPr>
    </w:tblStylePr>
  </w:style>
  <w:style w:type="paragraph" w:styleId="Bibliographie">
    <w:name w:val="Bibliography"/>
    <w:basedOn w:val="Normal"/>
    <w:next w:val="Normal"/>
    <w:uiPriority w:val="98"/>
    <w:semiHidden/>
    <w:rsid w:val="00760E8D"/>
    <w:pPr>
      <w:spacing w:after="0" w:line="240" w:lineRule="auto"/>
    </w:pPr>
    <w:rPr>
      <w:sz w:val="24"/>
      <w:szCs w:val="24"/>
    </w:rPr>
  </w:style>
  <w:style w:type="paragraph" w:styleId="Normalcentr">
    <w:name w:val="Block Text"/>
    <w:basedOn w:val="Normal"/>
    <w:uiPriority w:val="98"/>
    <w:semiHidden/>
    <w:rsid w:val="00760E8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after="0" w:line="240" w:lineRule="auto"/>
      <w:ind w:left="1152" w:right="1152"/>
    </w:pPr>
    <w:rPr>
      <w:i/>
      <w:iCs/>
      <w:color w:val="4472C4" w:themeColor="accent1"/>
      <w:sz w:val="24"/>
      <w:szCs w:val="24"/>
    </w:rPr>
  </w:style>
  <w:style w:type="table" w:customStyle="1" w:styleId="ECHRHeaderTable">
    <w:name w:val="ECHR_Header_Table"/>
    <w:basedOn w:val="TableauNormal"/>
    <w:uiPriority w:val="99"/>
    <w:rsid w:val="00760E8D"/>
    <w:pPr>
      <w:spacing w:after="0" w:line="240" w:lineRule="auto"/>
    </w:pPr>
    <w:rPr>
      <w:sz w:val="24"/>
      <w:szCs w:val="24"/>
      <w:lang w:val="en-US"/>
    </w:rPr>
    <w:tblPr>
      <w:tblInd w:w="-1474" w:type="dxa"/>
      <w:tblBorders>
        <w:bottom w:val="single" w:sz="6" w:space="0" w:color="323E4F" w:themeColor="text2" w:themeShade="BF"/>
      </w:tblBorders>
      <w:tblCellMar>
        <w:left w:w="0" w:type="dxa"/>
        <w:bottom w:w="28" w:type="dxa"/>
        <w:right w:w="0" w:type="dxa"/>
      </w:tblCellMar>
    </w:tblPr>
    <w:tcPr>
      <w:vAlign w:val="bottom"/>
    </w:tcPr>
    <w:tblStylePr w:type="lastCol">
      <w:pPr>
        <w:wordWrap/>
        <w:jc w:val="both"/>
      </w:pPr>
    </w:tblStylePr>
  </w:style>
  <w:style w:type="paragraph" w:styleId="Corpsdetexte">
    <w:name w:val="Body Text"/>
    <w:basedOn w:val="Normal"/>
    <w:link w:val="CorpsdetexteCar"/>
    <w:uiPriority w:val="98"/>
    <w:semiHidden/>
    <w:rsid w:val="00760E8D"/>
    <w:pPr>
      <w:spacing w:after="120" w:line="240" w:lineRule="auto"/>
    </w:pPr>
    <w:rPr>
      <w:sz w:val="24"/>
      <w:szCs w:val="24"/>
    </w:rPr>
  </w:style>
  <w:style w:type="character" w:customStyle="1" w:styleId="CorpsdetexteCar">
    <w:name w:val="Corps de texte Car"/>
    <w:basedOn w:val="Policepardfaut"/>
    <w:link w:val="Corpsdetexte"/>
    <w:uiPriority w:val="98"/>
    <w:semiHidden/>
    <w:rsid w:val="00760E8D"/>
    <w:rPr>
      <w:sz w:val="24"/>
      <w:szCs w:val="24"/>
    </w:rPr>
  </w:style>
  <w:style w:type="table" w:customStyle="1" w:styleId="ECHRTableOddBanded">
    <w:name w:val="ECHR_Table_Odd_Banded"/>
    <w:basedOn w:val="TableauNormal"/>
    <w:uiPriority w:val="99"/>
    <w:rsid w:val="00760E8D"/>
    <w:pPr>
      <w:spacing w:after="0" w:line="240" w:lineRule="auto"/>
    </w:pPr>
    <w:rPr>
      <w:lang w:val="en-US"/>
    </w:rPr>
    <w:tblPr>
      <w:tblStyleRowBandSize w:val="1"/>
      <w:tblStyleColBandSize w:val="1"/>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rFonts w:asciiTheme="majorHAnsi" w:hAnsiTheme="majorHAnsi"/>
        <w:b/>
        <w:i w:val="0"/>
        <w:color w:val="7B7B7B" w:themeColor="accent3" w:themeShade="BF"/>
        <w:sz w:val="22"/>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nil"/>
          <w:insideV w:val="single" w:sz="4" w:space="0" w:color="323E4F" w:themeColor="text2" w:themeShade="BF"/>
          <w:tl2br w:val="nil"/>
          <w:tr2bl w:val="nil"/>
        </w:tcBorders>
        <w:shd w:val="clear" w:color="auto" w:fill="D0CECE" w:themeFill="background2" w:themeFillShade="E6"/>
      </w:tcPr>
    </w:tblStylePr>
    <w:tblStylePr w:type="band1Vert">
      <w:tblPr/>
      <w:tcPr>
        <w:tcBorders>
          <w:top w:val="nil"/>
          <w:left w:val="nil"/>
          <w:bottom w:val="nil"/>
          <w:right w:val="nil"/>
          <w:insideH w:val="nil"/>
          <w:insideV w:val="nil"/>
          <w:tl2br w:val="nil"/>
          <w:tr2bl w:val="nil"/>
        </w:tcBorders>
        <w:shd w:val="clear" w:color="auto" w:fill="D0CECE" w:themeFill="background2" w:themeFillShade="E6"/>
      </w:tcPr>
    </w:tblStylePr>
    <w:tblStylePr w:type="band1Horz">
      <w:rPr>
        <w:b/>
      </w:rPr>
      <w:tblPr/>
      <w:tcPr>
        <w:shd w:val="clear" w:color="auto" w:fill="D0CECE" w:themeFill="background2" w:themeFillShade="E6"/>
      </w:tcPr>
    </w:tblStylePr>
  </w:style>
  <w:style w:type="paragraph" w:styleId="Corpsdetexte2">
    <w:name w:val="Body Text 2"/>
    <w:basedOn w:val="Normal"/>
    <w:link w:val="Corpsdetexte2Car"/>
    <w:uiPriority w:val="98"/>
    <w:semiHidden/>
    <w:rsid w:val="00760E8D"/>
    <w:pPr>
      <w:spacing w:after="120" w:line="480" w:lineRule="auto"/>
    </w:pPr>
    <w:rPr>
      <w:sz w:val="24"/>
      <w:szCs w:val="24"/>
    </w:rPr>
  </w:style>
  <w:style w:type="character" w:customStyle="1" w:styleId="Corpsdetexte2Car">
    <w:name w:val="Corps de texte 2 Car"/>
    <w:basedOn w:val="Policepardfaut"/>
    <w:link w:val="Corpsdetexte2"/>
    <w:uiPriority w:val="98"/>
    <w:semiHidden/>
    <w:rsid w:val="00760E8D"/>
    <w:rPr>
      <w:sz w:val="24"/>
      <w:szCs w:val="24"/>
    </w:rPr>
  </w:style>
  <w:style w:type="table" w:customStyle="1" w:styleId="ECHRHeaderTableReduced">
    <w:name w:val="ECHR_Header_Table_Reduced"/>
    <w:basedOn w:val="TableauNormal"/>
    <w:uiPriority w:val="99"/>
    <w:rsid w:val="00760E8D"/>
    <w:pPr>
      <w:spacing w:after="0" w:line="240" w:lineRule="auto"/>
    </w:pPr>
    <w:rPr>
      <w:sz w:val="24"/>
      <w:szCs w:val="24"/>
      <w:lang w:val="en-US"/>
    </w:rPr>
    <w:tblPr>
      <w:tblInd w:w="-1474" w:type="dxa"/>
      <w:tblCellMar>
        <w:left w:w="0" w:type="dxa"/>
        <w:right w:w="0" w:type="dxa"/>
      </w:tblCellMar>
    </w:tblPr>
    <w:tcPr>
      <w:vAlign w:val="bottom"/>
    </w:tcPr>
    <w:tblStylePr w:type="firstRow">
      <w:rPr>
        <w:sz w:val="18"/>
      </w:rPr>
      <w:tblPr/>
      <w:tcPr>
        <w:tcBorders>
          <w:top w:val="nil"/>
          <w:left w:val="nil"/>
          <w:bottom w:val="single" w:sz="6" w:space="0" w:color="323E4F" w:themeColor="text2" w:themeShade="BF"/>
          <w:right w:val="nil"/>
          <w:insideH w:val="nil"/>
          <w:insideV w:val="nil"/>
          <w:tl2br w:val="nil"/>
          <w:tr2bl w:val="nil"/>
        </w:tcBorders>
      </w:tcPr>
    </w:tblStylePr>
    <w:tblStylePr w:type="lastRow">
      <w:pPr>
        <w:jc w:val="right"/>
      </w:pPr>
      <w:tblPr/>
      <w:tcPr>
        <w:tcBorders>
          <w:top w:val="single" w:sz="6" w:space="0" w:color="323E4F"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ECHRPara"/>
    <w:uiPriority w:val="32"/>
    <w:rsid w:val="00760E8D"/>
    <w:pPr>
      <w:spacing w:after="0" w:line="240" w:lineRule="auto"/>
      <w:ind w:firstLine="284"/>
    </w:pPr>
    <w:rPr>
      <w:b/>
      <w:sz w:val="24"/>
      <w:szCs w:val="24"/>
    </w:rPr>
  </w:style>
  <w:style w:type="character" w:styleId="Numrodepage">
    <w:name w:val="page number"/>
    <w:uiPriority w:val="98"/>
    <w:semiHidden/>
    <w:rsid w:val="00760E8D"/>
    <w:rPr>
      <w:sz w:val="18"/>
    </w:rPr>
  </w:style>
  <w:style w:type="paragraph" w:styleId="Listepuces2">
    <w:name w:val="List Bullet 2"/>
    <w:basedOn w:val="Normal"/>
    <w:uiPriority w:val="98"/>
    <w:semiHidden/>
    <w:rsid w:val="00760E8D"/>
    <w:pPr>
      <w:numPr>
        <w:numId w:val="9"/>
      </w:numPr>
      <w:spacing w:after="0" w:line="240" w:lineRule="auto"/>
      <w:contextualSpacing/>
    </w:pPr>
    <w:rPr>
      <w:sz w:val="24"/>
      <w:szCs w:val="24"/>
    </w:rPr>
  </w:style>
  <w:style w:type="paragraph" w:styleId="Corpsdetexte3">
    <w:name w:val="Body Text 3"/>
    <w:basedOn w:val="Normal"/>
    <w:link w:val="Corpsdetexte3Car"/>
    <w:uiPriority w:val="98"/>
    <w:semiHidden/>
    <w:rsid w:val="00760E8D"/>
    <w:pPr>
      <w:spacing w:after="120" w:line="240" w:lineRule="auto"/>
    </w:pPr>
    <w:rPr>
      <w:sz w:val="16"/>
      <w:szCs w:val="16"/>
    </w:rPr>
  </w:style>
  <w:style w:type="character" w:customStyle="1" w:styleId="Corpsdetexte3Car">
    <w:name w:val="Corps de texte 3 Car"/>
    <w:basedOn w:val="Policepardfaut"/>
    <w:link w:val="Corpsdetexte3"/>
    <w:uiPriority w:val="98"/>
    <w:semiHidden/>
    <w:rsid w:val="00760E8D"/>
    <w:rPr>
      <w:sz w:val="16"/>
      <w:szCs w:val="16"/>
    </w:rPr>
  </w:style>
  <w:style w:type="paragraph" w:styleId="Retrait1religne">
    <w:name w:val="Body Text First Indent"/>
    <w:basedOn w:val="Corpsdetexte"/>
    <w:link w:val="Retrait1religneCar"/>
    <w:uiPriority w:val="98"/>
    <w:semiHidden/>
    <w:rsid w:val="00760E8D"/>
    <w:pPr>
      <w:spacing w:after="0"/>
      <w:ind w:firstLine="360"/>
    </w:pPr>
  </w:style>
  <w:style w:type="character" w:customStyle="1" w:styleId="Retrait1religneCar">
    <w:name w:val="Retrait 1re ligne Car"/>
    <w:basedOn w:val="CorpsdetexteCar"/>
    <w:link w:val="Retrait1religne"/>
    <w:uiPriority w:val="98"/>
    <w:semiHidden/>
    <w:rsid w:val="00760E8D"/>
    <w:rPr>
      <w:sz w:val="24"/>
      <w:szCs w:val="24"/>
    </w:rPr>
  </w:style>
  <w:style w:type="paragraph" w:styleId="Retraitcorpsdetexte">
    <w:name w:val="Body Text Indent"/>
    <w:basedOn w:val="Normal"/>
    <w:link w:val="RetraitcorpsdetexteCar"/>
    <w:uiPriority w:val="98"/>
    <w:semiHidden/>
    <w:rsid w:val="00760E8D"/>
    <w:pPr>
      <w:spacing w:after="120" w:line="240" w:lineRule="auto"/>
      <w:ind w:left="283"/>
    </w:pPr>
    <w:rPr>
      <w:sz w:val="24"/>
      <w:szCs w:val="24"/>
    </w:rPr>
  </w:style>
  <w:style w:type="character" w:customStyle="1" w:styleId="RetraitcorpsdetexteCar">
    <w:name w:val="Retrait corps de texte Car"/>
    <w:basedOn w:val="Policepardfaut"/>
    <w:link w:val="Retraitcorpsdetexte"/>
    <w:uiPriority w:val="98"/>
    <w:semiHidden/>
    <w:rsid w:val="00760E8D"/>
    <w:rPr>
      <w:sz w:val="24"/>
      <w:szCs w:val="24"/>
    </w:rPr>
  </w:style>
  <w:style w:type="paragraph" w:styleId="Retraitcorpset1relig">
    <w:name w:val="Body Text First Indent 2"/>
    <w:basedOn w:val="Retraitcorpsdetexte"/>
    <w:link w:val="Retraitcorpset1religCar"/>
    <w:uiPriority w:val="98"/>
    <w:semiHidden/>
    <w:rsid w:val="00760E8D"/>
    <w:pPr>
      <w:spacing w:after="0"/>
      <w:ind w:left="360" w:firstLine="360"/>
    </w:pPr>
  </w:style>
  <w:style w:type="character" w:customStyle="1" w:styleId="Retraitcorpset1religCar">
    <w:name w:val="Retrait corps et 1re lig. Car"/>
    <w:basedOn w:val="RetraitcorpsdetexteCar"/>
    <w:link w:val="Retraitcorpset1relig"/>
    <w:uiPriority w:val="98"/>
    <w:semiHidden/>
    <w:rsid w:val="00760E8D"/>
    <w:rPr>
      <w:sz w:val="24"/>
      <w:szCs w:val="24"/>
    </w:rPr>
  </w:style>
  <w:style w:type="paragraph" w:styleId="Retraitcorpsdetexte2">
    <w:name w:val="Body Text Indent 2"/>
    <w:basedOn w:val="Normal"/>
    <w:link w:val="Retraitcorpsdetexte2Car"/>
    <w:uiPriority w:val="98"/>
    <w:semiHidden/>
    <w:rsid w:val="00760E8D"/>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8"/>
    <w:semiHidden/>
    <w:rsid w:val="00760E8D"/>
    <w:rPr>
      <w:sz w:val="24"/>
      <w:szCs w:val="24"/>
    </w:rPr>
  </w:style>
  <w:style w:type="paragraph" w:styleId="Retraitcorpsdetexte3">
    <w:name w:val="Body Text Indent 3"/>
    <w:basedOn w:val="Normal"/>
    <w:link w:val="Retraitcorpsdetexte3Car"/>
    <w:uiPriority w:val="98"/>
    <w:semiHidden/>
    <w:rsid w:val="00760E8D"/>
    <w:pPr>
      <w:spacing w:after="120" w:line="240" w:lineRule="auto"/>
      <w:ind w:left="283"/>
    </w:pPr>
    <w:rPr>
      <w:sz w:val="16"/>
      <w:szCs w:val="16"/>
    </w:rPr>
  </w:style>
  <w:style w:type="character" w:customStyle="1" w:styleId="Retraitcorpsdetexte3Car">
    <w:name w:val="Retrait corps de texte 3 Car"/>
    <w:basedOn w:val="Policepardfaut"/>
    <w:link w:val="Retraitcorpsdetexte3"/>
    <w:uiPriority w:val="98"/>
    <w:semiHidden/>
    <w:rsid w:val="00760E8D"/>
    <w:rPr>
      <w:sz w:val="16"/>
      <w:szCs w:val="16"/>
    </w:rPr>
  </w:style>
  <w:style w:type="paragraph" w:styleId="Lgende">
    <w:name w:val="caption"/>
    <w:basedOn w:val="Normal"/>
    <w:next w:val="Normal"/>
    <w:uiPriority w:val="98"/>
    <w:semiHidden/>
    <w:qFormat/>
    <w:rsid w:val="00760E8D"/>
    <w:pPr>
      <w:spacing w:after="200" w:line="240" w:lineRule="auto"/>
    </w:pPr>
    <w:rPr>
      <w:b/>
      <w:bCs/>
      <w:color w:val="4472C4" w:themeColor="accent1"/>
      <w:sz w:val="18"/>
      <w:szCs w:val="18"/>
    </w:rPr>
  </w:style>
  <w:style w:type="paragraph" w:styleId="Formuledepolitesse">
    <w:name w:val="Closing"/>
    <w:basedOn w:val="Normal"/>
    <w:link w:val="FormuledepolitesseCar"/>
    <w:uiPriority w:val="98"/>
    <w:semiHidden/>
    <w:rsid w:val="00760E8D"/>
    <w:pPr>
      <w:spacing w:after="0" w:line="240" w:lineRule="auto"/>
      <w:ind w:left="4252"/>
    </w:pPr>
    <w:rPr>
      <w:sz w:val="24"/>
      <w:szCs w:val="24"/>
    </w:rPr>
  </w:style>
  <w:style w:type="character" w:customStyle="1" w:styleId="FormuledepolitesseCar">
    <w:name w:val="Formule de politesse Car"/>
    <w:basedOn w:val="Policepardfaut"/>
    <w:link w:val="Formuledepolitesse"/>
    <w:uiPriority w:val="98"/>
    <w:semiHidden/>
    <w:rsid w:val="00760E8D"/>
    <w:rPr>
      <w:sz w:val="24"/>
      <w:szCs w:val="24"/>
    </w:rPr>
  </w:style>
  <w:style w:type="table" w:styleId="Grillecouleur">
    <w:name w:val="Colorful Grid"/>
    <w:basedOn w:val="TableauNormal"/>
    <w:uiPriority w:val="73"/>
    <w:semiHidden/>
    <w:rsid w:val="00760E8D"/>
    <w:pPr>
      <w:spacing w:after="0" w:line="240" w:lineRule="auto"/>
    </w:pPr>
    <w:rPr>
      <w:color w:val="000000" w:themeColor="text1"/>
      <w:sz w:val="24"/>
      <w:szCs w:val="24"/>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rsid w:val="00760E8D"/>
    <w:pPr>
      <w:spacing w:after="0" w:line="240" w:lineRule="auto"/>
    </w:pPr>
    <w:rPr>
      <w:color w:val="000000" w:themeColor="text1"/>
      <w:sz w:val="24"/>
      <w:szCs w:val="24"/>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rsid w:val="00760E8D"/>
    <w:pPr>
      <w:spacing w:after="0" w:line="240" w:lineRule="auto"/>
    </w:pPr>
    <w:rPr>
      <w:color w:val="000000" w:themeColor="text1"/>
      <w:sz w:val="24"/>
      <w:szCs w:val="24"/>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rsid w:val="00760E8D"/>
    <w:pPr>
      <w:spacing w:after="0" w:line="240" w:lineRule="auto"/>
    </w:pPr>
    <w:rPr>
      <w:color w:val="000000" w:themeColor="text1"/>
      <w:sz w:val="24"/>
      <w:szCs w:val="24"/>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rsid w:val="00760E8D"/>
    <w:pPr>
      <w:spacing w:after="0" w:line="240" w:lineRule="auto"/>
    </w:pPr>
    <w:rPr>
      <w:color w:val="000000" w:themeColor="text1"/>
      <w:sz w:val="24"/>
      <w:szCs w:val="24"/>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rsid w:val="00760E8D"/>
    <w:pPr>
      <w:spacing w:after="0" w:line="240" w:lineRule="auto"/>
    </w:pPr>
    <w:rPr>
      <w:color w:val="000000" w:themeColor="text1"/>
      <w:sz w:val="24"/>
      <w:szCs w:val="24"/>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rsid w:val="00760E8D"/>
    <w:pPr>
      <w:spacing w:after="0" w:line="240" w:lineRule="auto"/>
    </w:pPr>
    <w:rPr>
      <w:color w:val="000000" w:themeColor="text1"/>
      <w:sz w:val="24"/>
      <w:szCs w:val="24"/>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rsid w:val="00760E8D"/>
    <w:pPr>
      <w:spacing w:after="0" w:line="240" w:lineRule="auto"/>
    </w:pPr>
    <w:rPr>
      <w:color w:val="000000" w:themeColor="text1"/>
      <w:sz w:val="24"/>
      <w:szCs w:val="24"/>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rsid w:val="00760E8D"/>
    <w:pPr>
      <w:spacing w:after="0" w:line="240" w:lineRule="auto"/>
    </w:pPr>
    <w:rPr>
      <w:color w:val="000000" w:themeColor="text1"/>
      <w:sz w:val="24"/>
      <w:szCs w:val="24"/>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rsid w:val="00760E8D"/>
    <w:pPr>
      <w:spacing w:after="0" w:line="240" w:lineRule="auto"/>
    </w:pPr>
    <w:rPr>
      <w:color w:val="000000" w:themeColor="text1"/>
      <w:sz w:val="24"/>
      <w:szCs w:val="24"/>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rsid w:val="00760E8D"/>
    <w:pPr>
      <w:spacing w:after="0" w:line="240" w:lineRule="auto"/>
    </w:pPr>
    <w:rPr>
      <w:color w:val="000000" w:themeColor="text1"/>
      <w:sz w:val="24"/>
      <w:szCs w:val="24"/>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rsid w:val="00760E8D"/>
    <w:pPr>
      <w:spacing w:after="0" w:line="240" w:lineRule="auto"/>
    </w:pPr>
    <w:rPr>
      <w:color w:val="000000" w:themeColor="text1"/>
      <w:sz w:val="24"/>
      <w:szCs w:val="24"/>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rsid w:val="00760E8D"/>
    <w:pPr>
      <w:spacing w:after="0" w:line="240" w:lineRule="auto"/>
    </w:pPr>
    <w:rPr>
      <w:color w:val="000000" w:themeColor="text1"/>
      <w:sz w:val="24"/>
      <w:szCs w:val="24"/>
      <w:lang w:val="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rsid w:val="00760E8D"/>
    <w:pPr>
      <w:spacing w:after="0" w:line="240" w:lineRule="auto"/>
    </w:pPr>
    <w:rPr>
      <w:color w:val="000000" w:themeColor="text1"/>
      <w:sz w:val="24"/>
      <w:szCs w:val="24"/>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rsid w:val="00760E8D"/>
    <w:pPr>
      <w:spacing w:after="0" w:line="240" w:lineRule="auto"/>
    </w:pPr>
    <w:rPr>
      <w:color w:val="000000" w:themeColor="text1"/>
      <w:sz w:val="24"/>
      <w:szCs w:val="24"/>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rsid w:val="00760E8D"/>
    <w:pPr>
      <w:spacing w:after="0" w:line="240" w:lineRule="auto"/>
    </w:pPr>
    <w:rPr>
      <w:color w:val="000000" w:themeColor="text1"/>
      <w:sz w:val="24"/>
      <w:szCs w:val="24"/>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rsid w:val="00760E8D"/>
    <w:pPr>
      <w:spacing w:after="0" w:line="240" w:lineRule="auto"/>
    </w:pPr>
    <w:rPr>
      <w:color w:val="000000" w:themeColor="text1"/>
      <w:sz w:val="24"/>
      <w:szCs w:val="24"/>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rsid w:val="00760E8D"/>
    <w:pPr>
      <w:spacing w:after="0" w:line="240" w:lineRule="auto"/>
    </w:pPr>
    <w:rPr>
      <w:color w:val="000000" w:themeColor="text1"/>
      <w:sz w:val="24"/>
      <w:szCs w:val="24"/>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rsid w:val="00760E8D"/>
    <w:pPr>
      <w:spacing w:after="0" w:line="240" w:lineRule="auto"/>
    </w:pPr>
    <w:rPr>
      <w:color w:val="000000" w:themeColor="text1"/>
      <w:sz w:val="24"/>
      <w:szCs w:val="24"/>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rsid w:val="00760E8D"/>
    <w:pPr>
      <w:spacing w:after="0" w:line="240" w:lineRule="auto"/>
    </w:pPr>
    <w:rPr>
      <w:color w:val="000000" w:themeColor="text1"/>
      <w:sz w:val="24"/>
      <w:szCs w:val="24"/>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rsid w:val="00760E8D"/>
    <w:pPr>
      <w:spacing w:after="0" w:line="240" w:lineRule="auto"/>
    </w:pPr>
    <w:rPr>
      <w:color w:val="000000" w:themeColor="text1"/>
      <w:sz w:val="24"/>
      <w:szCs w:val="24"/>
      <w:lang w:val="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8"/>
    <w:semiHidden/>
    <w:rsid w:val="00760E8D"/>
    <w:rPr>
      <w:sz w:val="16"/>
      <w:szCs w:val="16"/>
    </w:rPr>
  </w:style>
  <w:style w:type="paragraph" w:styleId="Commentaire">
    <w:name w:val="annotation text"/>
    <w:basedOn w:val="Normal"/>
    <w:link w:val="CommentaireCar"/>
    <w:uiPriority w:val="98"/>
    <w:semiHidden/>
    <w:rsid w:val="00760E8D"/>
    <w:pPr>
      <w:spacing w:after="0" w:line="240" w:lineRule="auto"/>
    </w:pPr>
    <w:rPr>
      <w:sz w:val="20"/>
      <w:szCs w:val="20"/>
    </w:rPr>
  </w:style>
  <w:style w:type="character" w:customStyle="1" w:styleId="CommentaireCar">
    <w:name w:val="Commentaire Car"/>
    <w:basedOn w:val="Policepardfaut"/>
    <w:link w:val="Commentaire"/>
    <w:uiPriority w:val="98"/>
    <w:semiHidden/>
    <w:rsid w:val="00760E8D"/>
    <w:rPr>
      <w:sz w:val="20"/>
      <w:szCs w:val="20"/>
    </w:rPr>
  </w:style>
  <w:style w:type="paragraph" w:styleId="Objetducommentaire">
    <w:name w:val="annotation subject"/>
    <w:basedOn w:val="Commentaire"/>
    <w:next w:val="Commentaire"/>
    <w:link w:val="ObjetducommentaireCar"/>
    <w:uiPriority w:val="98"/>
    <w:semiHidden/>
    <w:rsid w:val="00760E8D"/>
    <w:rPr>
      <w:b/>
      <w:bCs/>
    </w:rPr>
  </w:style>
  <w:style w:type="character" w:customStyle="1" w:styleId="ObjetducommentaireCar">
    <w:name w:val="Objet du commentaire Car"/>
    <w:basedOn w:val="CommentaireCar"/>
    <w:link w:val="Objetducommentaire"/>
    <w:uiPriority w:val="98"/>
    <w:semiHidden/>
    <w:rsid w:val="00760E8D"/>
    <w:rPr>
      <w:b/>
      <w:bCs/>
      <w:sz w:val="20"/>
      <w:szCs w:val="20"/>
    </w:rPr>
  </w:style>
  <w:style w:type="table" w:styleId="Listefonce">
    <w:name w:val="Dark List"/>
    <w:basedOn w:val="TableauNormal"/>
    <w:uiPriority w:val="70"/>
    <w:semiHidden/>
    <w:rsid w:val="00760E8D"/>
    <w:pPr>
      <w:spacing w:after="0" w:line="240" w:lineRule="auto"/>
    </w:pPr>
    <w:rPr>
      <w:color w:val="FFFFFF" w:themeColor="background1"/>
      <w:sz w:val="24"/>
      <w:szCs w:val="24"/>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rsid w:val="00760E8D"/>
    <w:pPr>
      <w:spacing w:after="0" w:line="240" w:lineRule="auto"/>
    </w:pPr>
    <w:rPr>
      <w:color w:val="FFFFFF" w:themeColor="background1"/>
      <w:sz w:val="24"/>
      <w:szCs w:val="24"/>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rsid w:val="00760E8D"/>
    <w:pPr>
      <w:spacing w:after="0" w:line="240" w:lineRule="auto"/>
    </w:pPr>
    <w:rPr>
      <w:color w:val="FFFFFF" w:themeColor="background1"/>
      <w:sz w:val="24"/>
      <w:szCs w:val="24"/>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rsid w:val="00760E8D"/>
    <w:pPr>
      <w:spacing w:after="0" w:line="240" w:lineRule="auto"/>
    </w:pPr>
    <w:rPr>
      <w:color w:val="FFFFFF" w:themeColor="background1"/>
      <w:sz w:val="24"/>
      <w:szCs w:val="24"/>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rsid w:val="00760E8D"/>
    <w:pPr>
      <w:spacing w:after="0" w:line="240" w:lineRule="auto"/>
    </w:pPr>
    <w:rPr>
      <w:color w:val="FFFFFF" w:themeColor="background1"/>
      <w:sz w:val="24"/>
      <w:szCs w:val="24"/>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rsid w:val="00760E8D"/>
    <w:pPr>
      <w:spacing w:after="0" w:line="240" w:lineRule="auto"/>
    </w:pPr>
    <w:rPr>
      <w:color w:val="FFFFFF" w:themeColor="background1"/>
      <w:sz w:val="24"/>
      <w:szCs w:val="24"/>
      <w:lang w:val="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rsid w:val="00760E8D"/>
    <w:pPr>
      <w:spacing w:after="0" w:line="240" w:lineRule="auto"/>
    </w:pPr>
    <w:rPr>
      <w:color w:val="FFFFFF" w:themeColor="background1"/>
      <w:sz w:val="24"/>
      <w:szCs w:val="24"/>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8"/>
    <w:semiHidden/>
    <w:rsid w:val="00760E8D"/>
    <w:pPr>
      <w:spacing w:after="0" w:line="240" w:lineRule="auto"/>
    </w:pPr>
    <w:rPr>
      <w:sz w:val="24"/>
      <w:szCs w:val="24"/>
    </w:rPr>
  </w:style>
  <w:style w:type="character" w:customStyle="1" w:styleId="DateCar">
    <w:name w:val="Date Car"/>
    <w:basedOn w:val="Policepardfaut"/>
    <w:link w:val="Date"/>
    <w:uiPriority w:val="98"/>
    <w:semiHidden/>
    <w:rsid w:val="00760E8D"/>
    <w:rPr>
      <w:sz w:val="24"/>
      <w:szCs w:val="24"/>
    </w:rPr>
  </w:style>
  <w:style w:type="paragraph" w:styleId="Explorateurdedocuments">
    <w:name w:val="Document Map"/>
    <w:basedOn w:val="Normal"/>
    <w:link w:val="ExplorateurdedocumentsCar"/>
    <w:uiPriority w:val="98"/>
    <w:semiHidden/>
    <w:rsid w:val="00760E8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8"/>
    <w:semiHidden/>
    <w:rsid w:val="00760E8D"/>
    <w:rPr>
      <w:rFonts w:ascii="Tahoma" w:hAnsi="Tahoma" w:cs="Tahoma"/>
      <w:sz w:val="16"/>
      <w:szCs w:val="16"/>
    </w:rPr>
  </w:style>
  <w:style w:type="paragraph" w:styleId="Signaturelectronique">
    <w:name w:val="E-mail Signature"/>
    <w:basedOn w:val="Normal"/>
    <w:link w:val="SignaturelectroniqueCar"/>
    <w:uiPriority w:val="98"/>
    <w:semiHidden/>
    <w:rsid w:val="00760E8D"/>
    <w:pPr>
      <w:spacing w:after="0" w:line="240" w:lineRule="auto"/>
    </w:pPr>
    <w:rPr>
      <w:sz w:val="24"/>
      <w:szCs w:val="24"/>
    </w:rPr>
  </w:style>
  <w:style w:type="character" w:customStyle="1" w:styleId="SignaturelectroniqueCar">
    <w:name w:val="Signature électronique Car"/>
    <w:basedOn w:val="Policepardfaut"/>
    <w:link w:val="Signaturelectronique"/>
    <w:uiPriority w:val="98"/>
    <w:semiHidden/>
    <w:rsid w:val="00760E8D"/>
    <w:rPr>
      <w:sz w:val="24"/>
      <w:szCs w:val="24"/>
    </w:rPr>
  </w:style>
  <w:style w:type="character" w:styleId="Appeldenotedefin">
    <w:name w:val="endnote reference"/>
    <w:basedOn w:val="Policepardfaut"/>
    <w:uiPriority w:val="98"/>
    <w:semiHidden/>
    <w:rsid w:val="00760E8D"/>
    <w:rPr>
      <w:vertAlign w:val="superscript"/>
    </w:rPr>
  </w:style>
  <w:style w:type="paragraph" w:styleId="Notedefin">
    <w:name w:val="endnote text"/>
    <w:basedOn w:val="Normal"/>
    <w:link w:val="NotedefinCar"/>
    <w:uiPriority w:val="98"/>
    <w:semiHidden/>
    <w:rsid w:val="00760E8D"/>
    <w:pPr>
      <w:spacing w:after="0" w:line="240" w:lineRule="auto"/>
    </w:pPr>
    <w:rPr>
      <w:sz w:val="20"/>
      <w:szCs w:val="20"/>
    </w:rPr>
  </w:style>
  <w:style w:type="character" w:customStyle="1" w:styleId="NotedefinCar">
    <w:name w:val="Note de fin Car"/>
    <w:basedOn w:val="Policepardfaut"/>
    <w:link w:val="Notedefin"/>
    <w:uiPriority w:val="98"/>
    <w:semiHidden/>
    <w:rsid w:val="00760E8D"/>
    <w:rPr>
      <w:sz w:val="20"/>
      <w:szCs w:val="20"/>
    </w:rPr>
  </w:style>
  <w:style w:type="paragraph" w:styleId="Adressedestinataire">
    <w:name w:val="envelope address"/>
    <w:basedOn w:val="Normal"/>
    <w:uiPriority w:val="98"/>
    <w:semiHidden/>
    <w:rsid w:val="00760E8D"/>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8"/>
    <w:semiHidden/>
    <w:rsid w:val="00760E8D"/>
    <w:pPr>
      <w:spacing w:after="0" w:line="240" w:lineRule="auto"/>
    </w:pPr>
    <w:rPr>
      <w:rFonts w:asciiTheme="majorHAnsi" w:eastAsiaTheme="majorEastAsia" w:hAnsiTheme="majorHAnsi" w:cstheme="majorBidi"/>
      <w:sz w:val="20"/>
      <w:szCs w:val="20"/>
    </w:rPr>
  </w:style>
  <w:style w:type="character" w:styleId="Lienhypertextesuivivisit">
    <w:name w:val="FollowedHyperlink"/>
    <w:basedOn w:val="Policepardfaut"/>
    <w:uiPriority w:val="98"/>
    <w:semiHidden/>
    <w:rsid w:val="00760E8D"/>
    <w:rPr>
      <w:color w:val="954F72" w:themeColor="followedHyperlink"/>
      <w:u w:val="single"/>
    </w:rPr>
  </w:style>
  <w:style w:type="character" w:styleId="AcronymeHTML">
    <w:name w:val="HTML Acronym"/>
    <w:basedOn w:val="Policepardfaut"/>
    <w:uiPriority w:val="98"/>
    <w:semiHidden/>
    <w:rsid w:val="00760E8D"/>
  </w:style>
  <w:style w:type="paragraph" w:styleId="AdresseHTML">
    <w:name w:val="HTML Address"/>
    <w:basedOn w:val="Normal"/>
    <w:link w:val="AdresseHTMLCar"/>
    <w:uiPriority w:val="98"/>
    <w:semiHidden/>
    <w:rsid w:val="00760E8D"/>
    <w:pPr>
      <w:spacing w:after="0" w:line="240" w:lineRule="auto"/>
    </w:pPr>
    <w:rPr>
      <w:i/>
      <w:iCs/>
      <w:sz w:val="24"/>
      <w:szCs w:val="24"/>
    </w:rPr>
  </w:style>
  <w:style w:type="character" w:customStyle="1" w:styleId="AdresseHTMLCar">
    <w:name w:val="Adresse HTML Car"/>
    <w:basedOn w:val="Policepardfaut"/>
    <w:link w:val="AdresseHTML"/>
    <w:uiPriority w:val="98"/>
    <w:semiHidden/>
    <w:rsid w:val="00760E8D"/>
    <w:rPr>
      <w:i/>
      <w:iCs/>
      <w:sz w:val="24"/>
      <w:szCs w:val="24"/>
    </w:rPr>
  </w:style>
  <w:style w:type="character" w:styleId="CitationHTML">
    <w:name w:val="HTML Cite"/>
    <w:basedOn w:val="Policepardfaut"/>
    <w:uiPriority w:val="98"/>
    <w:semiHidden/>
    <w:rsid w:val="00760E8D"/>
    <w:rPr>
      <w:i/>
      <w:iCs/>
    </w:rPr>
  </w:style>
  <w:style w:type="character" w:styleId="CodeHTML">
    <w:name w:val="HTML Code"/>
    <w:basedOn w:val="Policepardfaut"/>
    <w:uiPriority w:val="98"/>
    <w:semiHidden/>
    <w:rsid w:val="00760E8D"/>
    <w:rPr>
      <w:rFonts w:ascii="Consolas" w:hAnsi="Consolas" w:cs="Consolas"/>
      <w:sz w:val="20"/>
      <w:szCs w:val="20"/>
    </w:rPr>
  </w:style>
  <w:style w:type="character" w:styleId="DfinitionHTML">
    <w:name w:val="HTML Definition"/>
    <w:basedOn w:val="Policepardfaut"/>
    <w:uiPriority w:val="98"/>
    <w:semiHidden/>
    <w:rsid w:val="00760E8D"/>
    <w:rPr>
      <w:i/>
      <w:iCs/>
    </w:rPr>
  </w:style>
  <w:style w:type="character" w:styleId="ClavierHTML">
    <w:name w:val="HTML Keyboard"/>
    <w:basedOn w:val="Policepardfaut"/>
    <w:uiPriority w:val="98"/>
    <w:semiHidden/>
    <w:rsid w:val="00760E8D"/>
    <w:rPr>
      <w:rFonts w:ascii="Consolas" w:hAnsi="Consolas" w:cs="Consolas"/>
      <w:sz w:val="20"/>
      <w:szCs w:val="20"/>
    </w:rPr>
  </w:style>
  <w:style w:type="paragraph" w:styleId="PrformatHTML">
    <w:name w:val="HTML Preformatted"/>
    <w:basedOn w:val="Normal"/>
    <w:link w:val="PrformatHTMLCar"/>
    <w:uiPriority w:val="98"/>
    <w:semiHidden/>
    <w:rsid w:val="00760E8D"/>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8"/>
    <w:semiHidden/>
    <w:rsid w:val="00760E8D"/>
    <w:rPr>
      <w:rFonts w:ascii="Consolas" w:hAnsi="Consolas" w:cs="Consolas"/>
      <w:sz w:val="20"/>
      <w:szCs w:val="20"/>
    </w:rPr>
  </w:style>
  <w:style w:type="character" w:styleId="ExempleHTML">
    <w:name w:val="HTML Sample"/>
    <w:basedOn w:val="Policepardfaut"/>
    <w:uiPriority w:val="98"/>
    <w:semiHidden/>
    <w:rsid w:val="00760E8D"/>
    <w:rPr>
      <w:rFonts w:ascii="Consolas" w:hAnsi="Consolas" w:cs="Consolas"/>
      <w:sz w:val="24"/>
      <w:szCs w:val="24"/>
    </w:rPr>
  </w:style>
  <w:style w:type="character" w:styleId="MachinecrireHTML">
    <w:name w:val="HTML Typewriter"/>
    <w:basedOn w:val="Policepardfaut"/>
    <w:uiPriority w:val="98"/>
    <w:semiHidden/>
    <w:rsid w:val="00760E8D"/>
    <w:rPr>
      <w:rFonts w:ascii="Consolas" w:hAnsi="Consolas" w:cs="Consolas"/>
      <w:sz w:val="20"/>
      <w:szCs w:val="20"/>
    </w:rPr>
  </w:style>
  <w:style w:type="character" w:styleId="VariableHTML">
    <w:name w:val="HTML Variable"/>
    <w:basedOn w:val="Policepardfaut"/>
    <w:uiPriority w:val="98"/>
    <w:semiHidden/>
    <w:rsid w:val="00760E8D"/>
    <w:rPr>
      <w:i/>
      <w:iCs/>
    </w:rPr>
  </w:style>
  <w:style w:type="paragraph" w:styleId="Index1">
    <w:name w:val="index 1"/>
    <w:basedOn w:val="Normal"/>
    <w:next w:val="Normal"/>
    <w:autoRedefine/>
    <w:uiPriority w:val="98"/>
    <w:semiHidden/>
    <w:rsid w:val="00760E8D"/>
    <w:pPr>
      <w:spacing w:after="0" w:line="240" w:lineRule="auto"/>
      <w:ind w:left="240" w:hanging="240"/>
    </w:pPr>
    <w:rPr>
      <w:sz w:val="24"/>
      <w:szCs w:val="24"/>
    </w:rPr>
  </w:style>
  <w:style w:type="paragraph" w:styleId="Index2">
    <w:name w:val="index 2"/>
    <w:basedOn w:val="Normal"/>
    <w:next w:val="Normal"/>
    <w:autoRedefine/>
    <w:uiPriority w:val="98"/>
    <w:semiHidden/>
    <w:rsid w:val="00760E8D"/>
    <w:pPr>
      <w:spacing w:after="0" w:line="240" w:lineRule="auto"/>
      <w:ind w:left="480" w:hanging="240"/>
    </w:pPr>
    <w:rPr>
      <w:sz w:val="24"/>
      <w:szCs w:val="24"/>
    </w:rPr>
  </w:style>
  <w:style w:type="paragraph" w:styleId="Index3">
    <w:name w:val="index 3"/>
    <w:basedOn w:val="Normal"/>
    <w:next w:val="Normal"/>
    <w:autoRedefine/>
    <w:uiPriority w:val="98"/>
    <w:semiHidden/>
    <w:rsid w:val="00760E8D"/>
    <w:pPr>
      <w:spacing w:after="0" w:line="240" w:lineRule="auto"/>
      <w:ind w:left="720" w:hanging="240"/>
    </w:pPr>
    <w:rPr>
      <w:sz w:val="24"/>
      <w:szCs w:val="24"/>
    </w:rPr>
  </w:style>
  <w:style w:type="paragraph" w:styleId="Index4">
    <w:name w:val="index 4"/>
    <w:basedOn w:val="Normal"/>
    <w:next w:val="Normal"/>
    <w:autoRedefine/>
    <w:uiPriority w:val="98"/>
    <w:semiHidden/>
    <w:rsid w:val="00760E8D"/>
    <w:pPr>
      <w:spacing w:after="0" w:line="240" w:lineRule="auto"/>
      <w:ind w:left="960" w:hanging="240"/>
    </w:pPr>
    <w:rPr>
      <w:sz w:val="24"/>
      <w:szCs w:val="24"/>
    </w:rPr>
  </w:style>
  <w:style w:type="paragraph" w:styleId="Index5">
    <w:name w:val="index 5"/>
    <w:basedOn w:val="Normal"/>
    <w:next w:val="Normal"/>
    <w:autoRedefine/>
    <w:uiPriority w:val="98"/>
    <w:semiHidden/>
    <w:rsid w:val="00760E8D"/>
    <w:pPr>
      <w:spacing w:after="0" w:line="240" w:lineRule="auto"/>
      <w:ind w:left="1200" w:hanging="240"/>
    </w:pPr>
    <w:rPr>
      <w:sz w:val="24"/>
      <w:szCs w:val="24"/>
    </w:rPr>
  </w:style>
  <w:style w:type="paragraph" w:styleId="Index6">
    <w:name w:val="index 6"/>
    <w:basedOn w:val="Normal"/>
    <w:next w:val="Normal"/>
    <w:autoRedefine/>
    <w:uiPriority w:val="98"/>
    <w:semiHidden/>
    <w:rsid w:val="00760E8D"/>
    <w:pPr>
      <w:spacing w:after="0" w:line="240" w:lineRule="auto"/>
      <w:ind w:left="1440" w:hanging="240"/>
    </w:pPr>
    <w:rPr>
      <w:sz w:val="24"/>
      <w:szCs w:val="24"/>
    </w:rPr>
  </w:style>
  <w:style w:type="paragraph" w:styleId="Index7">
    <w:name w:val="index 7"/>
    <w:basedOn w:val="Normal"/>
    <w:next w:val="Normal"/>
    <w:autoRedefine/>
    <w:uiPriority w:val="98"/>
    <w:semiHidden/>
    <w:rsid w:val="00760E8D"/>
    <w:pPr>
      <w:spacing w:after="0" w:line="240" w:lineRule="auto"/>
      <w:ind w:left="1680" w:hanging="240"/>
    </w:pPr>
    <w:rPr>
      <w:sz w:val="24"/>
      <w:szCs w:val="24"/>
    </w:rPr>
  </w:style>
  <w:style w:type="paragraph" w:styleId="Index8">
    <w:name w:val="index 8"/>
    <w:basedOn w:val="Normal"/>
    <w:next w:val="Normal"/>
    <w:autoRedefine/>
    <w:uiPriority w:val="98"/>
    <w:semiHidden/>
    <w:rsid w:val="00760E8D"/>
    <w:pPr>
      <w:spacing w:after="0" w:line="240" w:lineRule="auto"/>
      <w:ind w:left="1920" w:hanging="240"/>
    </w:pPr>
    <w:rPr>
      <w:sz w:val="24"/>
      <w:szCs w:val="24"/>
    </w:rPr>
  </w:style>
  <w:style w:type="paragraph" w:styleId="Index9">
    <w:name w:val="index 9"/>
    <w:basedOn w:val="Normal"/>
    <w:next w:val="Normal"/>
    <w:autoRedefine/>
    <w:uiPriority w:val="98"/>
    <w:semiHidden/>
    <w:rsid w:val="00760E8D"/>
    <w:pPr>
      <w:spacing w:after="0" w:line="240" w:lineRule="auto"/>
      <w:ind w:left="2160" w:hanging="240"/>
    </w:pPr>
    <w:rPr>
      <w:sz w:val="24"/>
      <w:szCs w:val="24"/>
    </w:rPr>
  </w:style>
  <w:style w:type="paragraph" w:styleId="Titreindex">
    <w:name w:val="index heading"/>
    <w:basedOn w:val="Normal"/>
    <w:next w:val="Index1"/>
    <w:uiPriority w:val="98"/>
    <w:semiHidden/>
    <w:rsid w:val="00760E8D"/>
    <w:pPr>
      <w:spacing w:after="0" w:line="240" w:lineRule="auto"/>
    </w:pPr>
    <w:rPr>
      <w:rFonts w:asciiTheme="majorHAnsi" w:eastAsiaTheme="majorEastAsia" w:hAnsiTheme="majorHAnsi" w:cstheme="majorBidi"/>
      <w:b/>
      <w:bCs/>
      <w:sz w:val="24"/>
      <w:szCs w:val="24"/>
    </w:rPr>
  </w:style>
  <w:style w:type="table" w:styleId="Grilleclaire">
    <w:name w:val="Light Grid"/>
    <w:basedOn w:val="TableauNormal"/>
    <w:uiPriority w:val="62"/>
    <w:semiHidden/>
    <w:rsid w:val="00760E8D"/>
    <w:pPr>
      <w:spacing w:after="0" w:line="240" w:lineRule="auto"/>
    </w:pPr>
    <w:rPr>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rsid w:val="00760E8D"/>
    <w:pPr>
      <w:spacing w:after="0" w:line="240" w:lineRule="auto"/>
    </w:pPr>
    <w:rPr>
      <w:sz w:val="24"/>
      <w:szCs w:val="24"/>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rsid w:val="00760E8D"/>
    <w:pPr>
      <w:spacing w:after="0" w:line="240" w:lineRule="auto"/>
    </w:pPr>
    <w:rPr>
      <w:sz w:val="24"/>
      <w:szCs w:val="24"/>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rsid w:val="00760E8D"/>
    <w:pPr>
      <w:spacing w:after="0" w:line="240" w:lineRule="auto"/>
    </w:pPr>
    <w:rPr>
      <w:sz w:val="24"/>
      <w:szCs w:val="24"/>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rsid w:val="00760E8D"/>
    <w:pPr>
      <w:spacing w:after="0" w:line="240" w:lineRule="auto"/>
    </w:pPr>
    <w:rPr>
      <w:sz w:val="24"/>
      <w:szCs w:val="24"/>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rsid w:val="00760E8D"/>
    <w:pPr>
      <w:spacing w:after="0" w:line="240" w:lineRule="auto"/>
    </w:pPr>
    <w:rPr>
      <w:sz w:val="24"/>
      <w:szCs w:val="24"/>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rsid w:val="00760E8D"/>
    <w:pPr>
      <w:spacing w:after="0" w:line="240" w:lineRule="auto"/>
    </w:pPr>
    <w:rPr>
      <w:sz w:val="24"/>
      <w:szCs w:val="24"/>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rsid w:val="00760E8D"/>
    <w:pPr>
      <w:spacing w:after="0" w:line="240" w:lineRule="auto"/>
    </w:pPr>
    <w:rPr>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rsid w:val="00760E8D"/>
    <w:pPr>
      <w:spacing w:after="0" w:line="240" w:lineRule="auto"/>
    </w:pPr>
    <w:rPr>
      <w:sz w:val="24"/>
      <w:szCs w:val="24"/>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rsid w:val="00760E8D"/>
    <w:pPr>
      <w:spacing w:after="0" w:line="240" w:lineRule="auto"/>
    </w:pPr>
    <w:rPr>
      <w:sz w:val="24"/>
      <w:szCs w:val="24"/>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rsid w:val="00760E8D"/>
    <w:pPr>
      <w:spacing w:after="0" w:line="240" w:lineRule="auto"/>
    </w:pPr>
    <w:rPr>
      <w:sz w:val="24"/>
      <w:szCs w:val="24"/>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rsid w:val="00760E8D"/>
    <w:pPr>
      <w:spacing w:after="0" w:line="240" w:lineRule="auto"/>
    </w:pPr>
    <w:rPr>
      <w:sz w:val="24"/>
      <w:szCs w:val="24"/>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rsid w:val="00760E8D"/>
    <w:pPr>
      <w:spacing w:after="0" w:line="240" w:lineRule="auto"/>
    </w:pPr>
    <w:rPr>
      <w:sz w:val="24"/>
      <w:szCs w:val="24"/>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rsid w:val="00760E8D"/>
    <w:pPr>
      <w:spacing w:after="0" w:line="240" w:lineRule="auto"/>
    </w:pPr>
    <w:rPr>
      <w:sz w:val="24"/>
      <w:szCs w:val="24"/>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rsid w:val="00760E8D"/>
    <w:pPr>
      <w:spacing w:after="0" w:line="240" w:lineRule="auto"/>
    </w:pPr>
    <w:rPr>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rsid w:val="00760E8D"/>
    <w:pPr>
      <w:spacing w:after="0" w:line="240" w:lineRule="auto"/>
    </w:pPr>
    <w:rPr>
      <w:color w:val="2F5496" w:themeColor="accent1" w:themeShade="BF"/>
      <w:sz w:val="24"/>
      <w:szCs w:val="24"/>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rsid w:val="00760E8D"/>
    <w:pPr>
      <w:spacing w:after="0" w:line="240" w:lineRule="auto"/>
    </w:pPr>
    <w:rPr>
      <w:color w:val="C45911" w:themeColor="accent2" w:themeShade="BF"/>
      <w:sz w:val="24"/>
      <w:szCs w:val="24"/>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rsid w:val="00760E8D"/>
    <w:pPr>
      <w:spacing w:after="0" w:line="240" w:lineRule="auto"/>
    </w:pPr>
    <w:rPr>
      <w:color w:val="7B7B7B" w:themeColor="accent3" w:themeShade="BF"/>
      <w:sz w:val="24"/>
      <w:szCs w:val="24"/>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rsid w:val="00760E8D"/>
    <w:pPr>
      <w:spacing w:after="0" w:line="240" w:lineRule="auto"/>
    </w:pPr>
    <w:rPr>
      <w:color w:val="BF8F00" w:themeColor="accent4" w:themeShade="BF"/>
      <w:sz w:val="24"/>
      <w:szCs w:val="24"/>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rsid w:val="00760E8D"/>
    <w:pPr>
      <w:spacing w:after="0" w:line="240" w:lineRule="auto"/>
    </w:pPr>
    <w:rPr>
      <w:color w:val="2E74B5" w:themeColor="accent5" w:themeShade="BF"/>
      <w:sz w:val="24"/>
      <w:szCs w:val="24"/>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rsid w:val="00760E8D"/>
    <w:pPr>
      <w:spacing w:after="0" w:line="240" w:lineRule="auto"/>
    </w:pPr>
    <w:rPr>
      <w:color w:val="538135" w:themeColor="accent6" w:themeShade="BF"/>
      <w:sz w:val="24"/>
      <w:szCs w:val="24"/>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8"/>
    <w:semiHidden/>
    <w:rsid w:val="00760E8D"/>
  </w:style>
  <w:style w:type="paragraph" w:styleId="Liste">
    <w:name w:val="List"/>
    <w:basedOn w:val="Normal"/>
    <w:uiPriority w:val="98"/>
    <w:semiHidden/>
    <w:rsid w:val="00760E8D"/>
    <w:pPr>
      <w:spacing w:after="0" w:line="240" w:lineRule="auto"/>
      <w:ind w:left="283" w:hanging="283"/>
      <w:contextualSpacing/>
    </w:pPr>
    <w:rPr>
      <w:sz w:val="24"/>
      <w:szCs w:val="24"/>
    </w:rPr>
  </w:style>
  <w:style w:type="paragraph" w:styleId="Liste2">
    <w:name w:val="List 2"/>
    <w:basedOn w:val="Normal"/>
    <w:uiPriority w:val="98"/>
    <w:semiHidden/>
    <w:rsid w:val="00760E8D"/>
    <w:pPr>
      <w:spacing w:after="0" w:line="240" w:lineRule="auto"/>
      <w:ind w:left="566" w:hanging="283"/>
      <w:contextualSpacing/>
    </w:pPr>
    <w:rPr>
      <w:sz w:val="24"/>
      <w:szCs w:val="24"/>
    </w:rPr>
  </w:style>
  <w:style w:type="paragraph" w:styleId="Liste3">
    <w:name w:val="List 3"/>
    <w:basedOn w:val="Normal"/>
    <w:uiPriority w:val="98"/>
    <w:semiHidden/>
    <w:rsid w:val="00760E8D"/>
    <w:pPr>
      <w:spacing w:after="0" w:line="240" w:lineRule="auto"/>
      <w:ind w:left="849" w:hanging="283"/>
      <w:contextualSpacing/>
    </w:pPr>
    <w:rPr>
      <w:sz w:val="24"/>
      <w:szCs w:val="24"/>
    </w:rPr>
  </w:style>
  <w:style w:type="paragraph" w:styleId="Liste4">
    <w:name w:val="List 4"/>
    <w:basedOn w:val="Normal"/>
    <w:uiPriority w:val="98"/>
    <w:semiHidden/>
    <w:rsid w:val="00760E8D"/>
    <w:pPr>
      <w:spacing w:after="0" w:line="240" w:lineRule="auto"/>
      <w:ind w:left="1132" w:hanging="283"/>
      <w:contextualSpacing/>
    </w:pPr>
    <w:rPr>
      <w:sz w:val="24"/>
      <w:szCs w:val="24"/>
    </w:rPr>
  </w:style>
  <w:style w:type="paragraph" w:styleId="Liste5">
    <w:name w:val="List 5"/>
    <w:basedOn w:val="Normal"/>
    <w:uiPriority w:val="98"/>
    <w:semiHidden/>
    <w:rsid w:val="00760E8D"/>
    <w:pPr>
      <w:spacing w:after="0" w:line="240" w:lineRule="auto"/>
      <w:ind w:left="1415" w:hanging="283"/>
      <w:contextualSpacing/>
    </w:pPr>
    <w:rPr>
      <w:sz w:val="24"/>
      <w:szCs w:val="24"/>
    </w:rPr>
  </w:style>
  <w:style w:type="paragraph" w:styleId="Listepuces">
    <w:name w:val="List Bullet"/>
    <w:basedOn w:val="Normal"/>
    <w:uiPriority w:val="98"/>
    <w:semiHidden/>
    <w:rsid w:val="00760E8D"/>
    <w:pPr>
      <w:numPr>
        <w:numId w:val="8"/>
      </w:numPr>
      <w:spacing w:after="0" w:line="240" w:lineRule="auto"/>
    </w:pPr>
    <w:rPr>
      <w:sz w:val="24"/>
      <w:szCs w:val="24"/>
    </w:rPr>
  </w:style>
  <w:style w:type="paragraph" w:styleId="Listepuces3">
    <w:name w:val="List Bullet 3"/>
    <w:basedOn w:val="Normal"/>
    <w:uiPriority w:val="98"/>
    <w:semiHidden/>
    <w:rsid w:val="00760E8D"/>
    <w:pPr>
      <w:numPr>
        <w:numId w:val="10"/>
      </w:numPr>
      <w:spacing w:after="0" w:line="240" w:lineRule="auto"/>
      <w:contextualSpacing/>
    </w:pPr>
    <w:rPr>
      <w:sz w:val="24"/>
      <w:szCs w:val="24"/>
    </w:rPr>
  </w:style>
  <w:style w:type="paragraph" w:styleId="Listepuces4">
    <w:name w:val="List Bullet 4"/>
    <w:basedOn w:val="Normal"/>
    <w:uiPriority w:val="98"/>
    <w:semiHidden/>
    <w:rsid w:val="00760E8D"/>
    <w:pPr>
      <w:numPr>
        <w:numId w:val="11"/>
      </w:numPr>
      <w:spacing w:after="0" w:line="240" w:lineRule="auto"/>
      <w:contextualSpacing/>
    </w:pPr>
    <w:rPr>
      <w:sz w:val="24"/>
      <w:szCs w:val="24"/>
    </w:rPr>
  </w:style>
  <w:style w:type="paragraph" w:styleId="Listepuces5">
    <w:name w:val="List Bullet 5"/>
    <w:basedOn w:val="Normal"/>
    <w:uiPriority w:val="98"/>
    <w:semiHidden/>
    <w:rsid w:val="00760E8D"/>
    <w:pPr>
      <w:numPr>
        <w:numId w:val="12"/>
      </w:numPr>
      <w:spacing w:after="0" w:line="240" w:lineRule="auto"/>
      <w:contextualSpacing/>
    </w:pPr>
    <w:rPr>
      <w:sz w:val="24"/>
      <w:szCs w:val="24"/>
    </w:rPr>
  </w:style>
  <w:style w:type="paragraph" w:styleId="Listecontinue">
    <w:name w:val="List Continue"/>
    <w:basedOn w:val="Normal"/>
    <w:uiPriority w:val="98"/>
    <w:semiHidden/>
    <w:rsid w:val="00760E8D"/>
    <w:pPr>
      <w:spacing w:after="120" w:line="240" w:lineRule="auto"/>
      <w:ind w:left="283"/>
      <w:contextualSpacing/>
    </w:pPr>
    <w:rPr>
      <w:sz w:val="24"/>
      <w:szCs w:val="24"/>
    </w:rPr>
  </w:style>
  <w:style w:type="paragraph" w:styleId="Listecontinue2">
    <w:name w:val="List Continue 2"/>
    <w:basedOn w:val="Normal"/>
    <w:uiPriority w:val="98"/>
    <w:semiHidden/>
    <w:rsid w:val="00760E8D"/>
    <w:pPr>
      <w:spacing w:after="120" w:line="240" w:lineRule="auto"/>
      <w:ind w:left="566"/>
      <w:contextualSpacing/>
    </w:pPr>
    <w:rPr>
      <w:sz w:val="24"/>
      <w:szCs w:val="24"/>
    </w:rPr>
  </w:style>
  <w:style w:type="paragraph" w:styleId="Listecontinue3">
    <w:name w:val="List Continue 3"/>
    <w:basedOn w:val="Normal"/>
    <w:uiPriority w:val="98"/>
    <w:semiHidden/>
    <w:rsid w:val="00760E8D"/>
    <w:pPr>
      <w:spacing w:after="120" w:line="240" w:lineRule="auto"/>
      <w:ind w:left="849"/>
      <w:contextualSpacing/>
    </w:pPr>
    <w:rPr>
      <w:sz w:val="24"/>
      <w:szCs w:val="24"/>
    </w:rPr>
  </w:style>
  <w:style w:type="paragraph" w:styleId="Listecontinue4">
    <w:name w:val="List Continue 4"/>
    <w:basedOn w:val="Normal"/>
    <w:uiPriority w:val="98"/>
    <w:semiHidden/>
    <w:rsid w:val="00760E8D"/>
    <w:pPr>
      <w:spacing w:after="120" w:line="240" w:lineRule="auto"/>
      <w:ind w:left="1132"/>
      <w:contextualSpacing/>
    </w:pPr>
    <w:rPr>
      <w:sz w:val="24"/>
      <w:szCs w:val="24"/>
    </w:rPr>
  </w:style>
  <w:style w:type="paragraph" w:styleId="Listecontinue5">
    <w:name w:val="List Continue 5"/>
    <w:basedOn w:val="Normal"/>
    <w:uiPriority w:val="98"/>
    <w:semiHidden/>
    <w:rsid w:val="00760E8D"/>
    <w:pPr>
      <w:spacing w:after="120" w:line="240" w:lineRule="auto"/>
      <w:ind w:left="1415"/>
      <w:contextualSpacing/>
    </w:pPr>
    <w:rPr>
      <w:sz w:val="24"/>
      <w:szCs w:val="24"/>
    </w:rPr>
  </w:style>
  <w:style w:type="paragraph" w:styleId="Listenumros">
    <w:name w:val="List Number"/>
    <w:basedOn w:val="Normal"/>
    <w:uiPriority w:val="98"/>
    <w:semiHidden/>
    <w:rsid w:val="00760E8D"/>
    <w:pPr>
      <w:numPr>
        <w:numId w:val="13"/>
      </w:numPr>
      <w:spacing w:after="0" w:line="240" w:lineRule="auto"/>
      <w:contextualSpacing/>
    </w:pPr>
    <w:rPr>
      <w:sz w:val="24"/>
      <w:szCs w:val="24"/>
    </w:rPr>
  </w:style>
  <w:style w:type="paragraph" w:styleId="Listenumros2">
    <w:name w:val="List Number 2"/>
    <w:basedOn w:val="Normal"/>
    <w:uiPriority w:val="98"/>
    <w:semiHidden/>
    <w:rsid w:val="00760E8D"/>
    <w:pPr>
      <w:numPr>
        <w:numId w:val="14"/>
      </w:numPr>
      <w:spacing w:after="0" w:line="240" w:lineRule="auto"/>
      <w:contextualSpacing/>
    </w:pPr>
    <w:rPr>
      <w:sz w:val="24"/>
      <w:szCs w:val="24"/>
    </w:rPr>
  </w:style>
  <w:style w:type="paragraph" w:styleId="Listenumros3">
    <w:name w:val="List Number 3"/>
    <w:basedOn w:val="Normal"/>
    <w:uiPriority w:val="98"/>
    <w:semiHidden/>
    <w:rsid w:val="00760E8D"/>
    <w:pPr>
      <w:numPr>
        <w:numId w:val="15"/>
      </w:numPr>
      <w:spacing w:after="0" w:line="240" w:lineRule="auto"/>
      <w:contextualSpacing/>
    </w:pPr>
    <w:rPr>
      <w:sz w:val="24"/>
      <w:szCs w:val="24"/>
    </w:rPr>
  </w:style>
  <w:style w:type="paragraph" w:styleId="Listenumros4">
    <w:name w:val="List Number 4"/>
    <w:basedOn w:val="Normal"/>
    <w:uiPriority w:val="98"/>
    <w:semiHidden/>
    <w:rsid w:val="00760E8D"/>
    <w:pPr>
      <w:numPr>
        <w:numId w:val="16"/>
      </w:numPr>
      <w:spacing w:after="0" w:line="240" w:lineRule="auto"/>
      <w:contextualSpacing/>
    </w:pPr>
    <w:rPr>
      <w:sz w:val="24"/>
      <w:szCs w:val="24"/>
    </w:rPr>
  </w:style>
  <w:style w:type="paragraph" w:styleId="Listenumros5">
    <w:name w:val="List Number 5"/>
    <w:basedOn w:val="Normal"/>
    <w:uiPriority w:val="98"/>
    <w:semiHidden/>
    <w:rsid w:val="00760E8D"/>
    <w:pPr>
      <w:numPr>
        <w:numId w:val="17"/>
      </w:numPr>
      <w:spacing w:after="0" w:line="240" w:lineRule="auto"/>
      <w:contextualSpacing/>
    </w:pPr>
    <w:rPr>
      <w:sz w:val="24"/>
      <w:szCs w:val="24"/>
    </w:rPr>
  </w:style>
  <w:style w:type="paragraph" w:styleId="Textedemacro">
    <w:name w:val="macro"/>
    <w:link w:val="TextedemacroCar"/>
    <w:uiPriority w:val="98"/>
    <w:semiHidden/>
    <w:rsid w:val="00760E8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heme="minorEastAsia" w:hAnsi="Consolas" w:cs="Consolas"/>
      <w:sz w:val="20"/>
      <w:szCs w:val="20"/>
      <w:lang w:val="en-US"/>
    </w:rPr>
  </w:style>
  <w:style w:type="character" w:customStyle="1" w:styleId="TextedemacroCar">
    <w:name w:val="Texte de macro Car"/>
    <w:basedOn w:val="Policepardfaut"/>
    <w:link w:val="Textedemacro"/>
    <w:uiPriority w:val="98"/>
    <w:semiHidden/>
    <w:rsid w:val="00760E8D"/>
    <w:rPr>
      <w:rFonts w:ascii="Consolas" w:eastAsiaTheme="minorEastAsia" w:hAnsi="Consolas" w:cs="Consolas"/>
      <w:sz w:val="20"/>
      <w:szCs w:val="20"/>
      <w:lang w:val="en-US"/>
    </w:rPr>
  </w:style>
  <w:style w:type="table" w:styleId="Grillemoyenne1">
    <w:name w:val="Medium Grid 1"/>
    <w:basedOn w:val="TableauNormal"/>
    <w:uiPriority w:val="67"/>
    <w:semiHidden/>
    <w:rsid w:val="00760E8D"/>
    <w:pPr>
      <w:spacing w:after="0" w:line="240" w:lineRule="auto"/>
    </w:pPr>
    <w:rPr>
      <w:sz w:val="24"/>
      <w:szCs w:val="24"/>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rsid w:val="00760E8D"/>
    <w:pPr>
      <w:spacing w:after="0" w:line="240" w:lineRule="auto"/>
    </w:pPr>
    <w:rPr>
      <w:sz w:val="24"/>
      <w:szCs w:val="24"/>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rsid w:val="00760E8D"/>
    <w:pPr>
      <w:spacing w:after="0" w:line="240" w:lineRule="auto"/>
    </w:pPr>
    <w:rPr>
      <w:sz w:val="24"/>
      <w:szCs w:val="24"/>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rsid w:val="00760E8D"/>
    <w:pPr>
      <w:spacing w:after="0" w:line="240" w:lineRule="auto"/>
    </w:pPr>
    <w:rPr>
      <w:sz w:val="24"/>
      <w:szCs w:val="24"/>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rsid w:val="00760E8D"/>
    <w:pPr>
      <w:spacing w:after="0" w:line="240" w:lineRule="auto"/>
    </w:pPr>
    <w:rPr>
      <w:sz w:val="24"/>
      <w:szCs w:val="24"/>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rsid w:val="00760E8D"/>
    <w:pPr>
      <w:spacing w:after="0" w:line="240" w:lineRule="auto"/>
    </w:pPr>
    <w:rPr>
      <w:sz w:val="24"/>
      <w:szCs w:val="24"/>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rsid w:val="00760E8D"/>
    <w:pPr>
      <w:spacing w:after="0" w:line="240" w:lineRule="auto"/>
    </w:pPr>
    <w:rPr>
      <w:sz w:val="24"/>
      <w:szCs w:val="24"/>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rsid w:val="00760E8D"/>
    <w:pPr>
      <w:spacing w:after="0" w:line="240" w:lineRule="auto"/>
    </w:pPr>
    <w:rPr>
      <w:sz w:val="24"/>
      <w:szCs w:val="24"/>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rsid w:val="00760E8D"/>
    <w:pPr>
      <w:spacing w:after="0" w:line="240" w:lineRule="auto"/>
    </w:pPr>
    <w:rPr>
      <w:sz w:val="24"/>
      <w:szCs w:val="24"/>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rsid w:val="00760E8D"/>
    <w:pPr>
      <w:spacing w:after="0" w:line="240" w:lineRule="auto"/>
    </w:pPr>
    <w:rPr>
      <w:sz w:val="24"/>
      <w:szCs w:val="24"/>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rsid w:val="00760E8D"/>
    <w:pPr>
      <w:spacing w:after="0" w:line="240" w:lineRule="auto"/>
    </w:pPr>
    <w:rPr>
      <w:sz w:val="24"/>
      <w:szCs w:val="24"/>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rsid w:val="00760E8D"/>
    <w:pPr>
      <w:spacing w:after="0" w:line="240" w:lineRule="auto"/>
    </w:pPr>
    <w:rPr>
      <w:sz w:val="24"/>
      <w:szCs w:val="24"/>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rsid w:val="00760E8D"/>
    <w:pPr>
      <w:spacing w:after="0" w:line="240" w:lineRule="auto"/>
    </w:pPr>
    <w:rPr>
      <w:sz w:val="24"/>
      <w:szCs w:val="24"/>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rsid w:val="00760E8D"/>
    <w:pPr>
      <w:spacing w:after="0" w:line="240" w:lineRule="auto"/>
    </w:pPr>
    <w:rPr>
      <w:sz w:val="24"/>
      <w:szCs w:val="24"/>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rsid w:val="00760E8D"/>
    <w:pPr>
      <w:spacing w:after="0" w:line="240" w:lineRule="auto"/>
    </w:pPr>
    <w:rPr>
      <w:color w:val="000000" w:themeColor="text1"/>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rsid w:val="00760E8D"/>
    <w:pPr>
      <w:spacing w:after="0" w:line="240" w:lineRule="auto"/>
    </w:pPr>
    <w:rPr>
      <w:color w:val="000000" w:themeColor="text1"/>
      <w:sz w:val="24"/>
      <w:szCs w:val="24"/>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rsid w:val="00760E8D"/>
    <w:pPr>
      <w:spacing w:after="0" w:line="240" w:lineRule="auto"/>
    </w:pPr>
    <w:rPr>
      <w:color w:val="000000" w:themeColor="text1"/>
      <w:sz w:val="24"/>
      <w:szCs w:val="24"/>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rsid w:val="00760E8D"/>
    <w:pPr>
      <w:spacing w:after="0" w:line="240" w:lineRule="auto"/>
    </w:pPr>
    <w:rPr>
      <w:color w:val="000000" w:themeColor="text1"/>
      <w:sz w:val="24"/>
      <w:szCs w:val="24"/>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rsid w:val="00760E8D"/>
    <w:pPr>
      <w:spacing w:after="0" w:line="240" w:lineRule="auto"/>
    </w:pPr>
    <w:rPr>
      <w:color w:val="000000" w:themeColor="text1"/>
      <w:sz w:val="24"/>
      <w:szCs w:val="24"/>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rsid w:val="00760E8D"/>
    <w:pPr>
      <w:spacing w:after="0" w:line="240" w:lineRule="auto"/>
    </w:pPr>
    <w:rPr>
      <w:color w:val="000000" w:themeColor="text1"/>
      <w:sz w:val="24"/>
      <w:szCs w:val="24"/>
      <w:lang w:val="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rsid w:val="00760E8D"/>
    <w:pPr>
      <w:spacing w:after="0" w:line="240" w:lineRule="auto"/>
    </w:pPr>
    <w:rPr>
      <w:color w:val="000000" w:themeColor="text1"/>
      <w:sz w:val="24"/>
      <w:szCs w:val="24"/>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760E8D"/>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rsid w:val="00760E8D"/>
    <w:pPr>
      <w:spacing w:after="0" w:line="240" w:lineRule="auto"/>
    </w:pPr>
    <w:rPr>
      <w:sz w:val="24"/>
      <w:szCs w:val="24"/>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rsid w:val="00760E8D"/>
    <w:pPr>
      <w:spacing w:after="0" w:line="240" w:lineRule="auto"/>
    </w:pPr>
    <w:rPr>
      <w:sz w:val="24"/>
      <w:szCs w:val="24"/>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760E8D"/>
    <w:pPr>
      <w:spacing w:after="0" w:line="240" w:lineRule="auto"/>
    </w:pPr>
    <w:rPr>
      <w:sz w:val="24"/>
      <w:szCs w:val="24"/>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760E8D"/>
    <w:pPr>
      <w:spacing w:after="0" w:line="240" w:lineRule="auto"/>
    </w:pPr>
    <w:rPr>
      <w:sz w:val="24"/>
      <w:szCs w:val="24"/>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760E8D"/>
    <w:pPr>
      <w:spacing w:after="0" w:line="240" w:lineRule="auto"/>
    </w:pPr>
    <w:rPr>
      <w:sz w:val="24"/>
      <w:szCs w:val="24"/>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760E8D"/>
    <w:pPr>
      <w:spacing w:after="0" w:line="240" w:lineRule="auto"/>
    </w:pPr>
    <w:rPr>
      <w:sz w:val="24"/>
      <w:szCs w:val="24"/>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760E8D"/>
    <w:pPr>
      <w:spacing w:after="0" w:line="240" w:lineRule="auto"/>
    </w:pPr>
    <w:rPr>
      <w:sz w:val="24"/>
      <w:szCs w:val="24"/>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rsid w:val="00760E8D"/>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rsid w:val="00760E8D"/>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rsid w:val="00760E8D"/>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rsid w:val="00760E8D"/>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rsid w:val="00760E8D"/>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rsid w:val="00760E8D"/>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rsid w:val="00760E8D"/>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8"/>
    <w:semiHidden/>
    <w:rsid w:val="00760E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8"/>
    <w:semiHidden/>
    <w:rsid w:val="00760E8D"/>
    <w:rPr>
      <w:rFonts w:asciiTheme="majorHAnsi" w:eastAsiaTheme="majorEastAsia" w:hAnsiTheme="majorHAnsi" w:cstheme="majorBidi"/>
      <w:sz w:val="24"/>
      <w:szCs w:val="24"/>
      <w:shd w:val="pct20" w:color="auto" w:fill="auto"/>
    </w:rPr>
  </w:style>
  <w:style w:type="paragraph" w:styleId="NormalWeb">
    <w:name w:val="Normal (Web)"/>
    <w:basedOn w:val="Normal"/>
    <w:uiPriority w:val="98"/>
    <w:semiHidden/>
    <w:rsid w:val="00760E8D"/>
    <w:pPr>
      <w:spacing w:after="0" w:line="240" w:lineRule="auto"/>
    </w:pPr>
    <w:rPr>
      <w:rFonts w:ascii="Times New Roman" w:hAnsi="Times New Roman" w:cs="Times New Roman"/>
      <w:sz w:val="24"/>
      <w:szCs w:val="24"/>
    </w:rPr>
  </w:style>
  <w:style w:type="paragraph" w:styleId="Retraitnormal">
    <w:name w:val="Normal Indent"/>
    <w:basedOn w:val="Normal"/>
    <w:uiPriority w:val="98"/>
    <w:semiHidden/>
    <w:rsid w:val="00760E8D"/>
    <w:pPr>
      <w:spacing w:after="0" w:line="240" w:lineRule="auto"/>
      <w:ind w:left="720"/>
    </w:pPr>
    <w:rPr>
      <w:sz w:val="24"/>
      <w:szCs w:val="24"/>
    </w:rPr>
  </w:style>
  <w:style w:type="paragraph" w:styleId="Titredenote">
    <w:name w:val="Note Heading"/>
    <w:basedOn w:val="Normal"/>
    <w:next w:val="Normal"/>
    <w:link w:val="TitredenoteCar"/>
    <w:uiPriority w:val="98"/>
    <w:semiHidden/>
    <w:rsid w:val="00760E8D"/>
    <w:pPr>
      <w:spacing w:after="0" w:line="240" w:lineRule="auto"/>
    </w:pPr>
    <w:rPr>
      <w:sz w:val="24"/>
      <w:szCs w:val="24"/>
    </w:rPr>
  </w:style>
  <w:style w:type="character" w:customStyle="1" w:styleId="TitredenoteCar">
    <w:name w:val="Titre de note Car"/>
    <w:basedOn w:val="Policepardfaut"/>
    <w:link w:val="Titredenote"/>
    <w:uiPriority w:val="98"/>
    <w:semiHidden/>
    <w:rsid w:val="00760E8D"/>
    <w:rPr>
      <w:sz w:val="24"/>
      <w:szCs w:val="24"/>
    </w:rPr>
  </w:style>
  <w:style w:type="character" w:styleId="Textedelespacerserv">
    <w:name w:val="Placeholder Text"/>
    <w:basedOn w:val="Policepardfaut"/>
    <w:uiPriority w:val="98"/>
    <w:semiHidden/>
    <w:rsid w:val="00760E8D"/>
    <w:rPr>
      <w:color w:val="auto"/>
      <w:bdr w:val="none" w:sz="0" w:space="0" w:color="auto"/>
      <w:shd w:val="clear" w:color="auto" w:fill="D0CECE" w:themeFill="background2" w:themeFillShade="E6"/>
    </w:rPr>
  </w:style>
  <w:style w:type="paragraph" w:styleId="Textebrut">
    <w:name w:val="Plain Text"/>
    <w:basedOn w:val="Normal"/>
    <w:link w:val="TextebrutCar"/>
    <w:uiPriority w:val="98"/>
    <w:semiHidden/>
    <w:rsid w:val="00760E8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8"/>
    <w:semiHidden/>
    <w:rsid w:val="00760E8D"/>
    <w:rPr>
      <w:rFonts w:ascii="Consolas" w:hAnsi="Consolas" w:cs="Consolas"/>
      <w:sz w:val="21"/>
      <w:szCs w:val="21"/>
    </w:rPr>
  </w:style>
  <w:style w:type="paragraph" w:styleId="Salutations">
    <w:name w:val="Salutation"/>
    <w:basedOn w:val="Normal"/>
    <w:next w:val="Normal"/>
    <w:link w:val="SalutationsCar"/>
    <w:uiPriority w:val="98"/>
    <w:semiHidden/>
    <w:rsid w:val="00760E8D"/>
    <w:pPr>
      <w:spacing w:after="0" w:line="240" w:lineRule="auto"/>
    </w:pPr>
    <w:rPr>
      <w:sz w:val="24"/>
      <w:szCs w:val="24"/>
    </w:rPr>
  </w:style>
  <w:style w:type="character" w:customStyle="1" w:styleId="SalutationsCar">
    <w:name w:val="Salutations Car"/>
    <w:basedOn w:val="Policepardfaut"/>
    <w:link w:val="Salutations"/>
    <w:uiPriority w:val="98"/>
    <w:semiHidden/>
    <w:rsid w:val="00760E8D"/>
    <w:rPr>
      <w:sz w:val="24"/>
      <w:szCs w:val="24"/>
    </w:rPr>
  </w:style>
  <w:style w:type="paragraph" w:styleId="Signature">
    <w:name w:val="Signature"/>
    <w:basedOn w:val="Normal"/>
    <w:link w:val="SignatureCar"/>
    <w:uiPriority w:val="98"/>
    <w:semiHidden/>
    <w:rsid w:val="00760E8D"/>
    <w:pPr>
      <w:spacing w:after="0" w:line="240" w:lineRule="auto"/>
      <w:ind w:left="4252"/>
    </w:pPr>
    <w:rPr>
      <w:sz w:val="24"/>
      <w:szCs w:val="24"/>
    </w:rPr>
  </w:style>
  <w:style w:type="character" w:customStyle="1" w:styleId="SignatureCar">
    <w:name w:val="Signature Car"/>
    <w:basedOn w:val="Policepardfaut"/>
    <w:link w:val="Signature"/>
    <w:uiPriority w:val="98"/>
    <w:semiHidden/>
    <w:rsid w:val="00760E8D"/>
    <w:rPr>
      <w:sz w:val="24"/>
      <w:szCs w:val="24"/>
    </w:rPr>
  </w:style>
  <w:style w:type="table" w:styleId="Effetsdetableau3D1">
    <w:name w:val="Table 3D effects 1"/>
    <w:basedOn w:val="TableauNormal"/>
    <w:uiPriority w:val="99"/>
    <w:semiHidden/>
    <w:unhideWhenUsed/>
    <w:rsid w:val="00760E8D"/>
    <w:pPr>
      <w:spacing w:after="0" w:line="240" w:lineRule="auto"/>
      <w:jc w:val="both"/>
    </w:pPr>
    <w:rPr>
      <w:sz w:val="24"/>
      <w:szCs w:val="24"/>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60E8D"/>
    <w:pPr>
      <w:spacing w:after="0" w:line="240" w:lineRule="auto"/>
      <w:jc w:val="both"/>
    </w:pPr>
    <w:rPr>
      <w:sz w:val="24"/>
      <w:szCs w:val="24"/>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60E8D"/>
    <w:pPr>
      <w:spacing w:after="0" w:line="240" w:lineRule="auto"/>
      <w:jc w:val="both"/>
    </w:pPr>
    <w:rPr>
      <w:sz w:val="24"/>
      <w:szCs w:val="24"/>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760E8D"/>
    <w:pPr>
      <w:spacing w:after="0" w:line="240" w:lineRule="auto"/>
      <w:jc w:val="both"/>
    </w:pPr>
    <w:rPr>
      <w:sz w:val="24"/>
      <w:szCs w:val="24"/>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60E8D"/>
    <w:pPr>
      <w:spacing w:after="0" w:line="240" w:lineRule="auto"/>
      <w:jc w:val="both"/>
    </w:pPr>
    <w:rPr>
      <w:sz w:val="24"/>
      <w:szCs w:val="24"/>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60E8D"/>
    <w:pPr>
      <w:spacing w:after="0" w:line="240" w:lineRule="auto"/>
      <w:jc w:val="both"/>
    </w:pPr>
    <w:rPr>
      <w:color w:val="000080"/>
      <w:sz w:val="24"/>
      <w:szCs w:val="24"/>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60E8D"/>
    <w:pPr>
      <w:spacing w:after="0" w:line="240" w:lineRule="auto"/>
      <w:jc w:val="both"/>
    </w:pPr>
    <w:rPr>
      <w:sz w:val="24"/>
      <w:szCs w:val="24"/>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60E8D"/>
    <w:pPr>
      <w:spacing w:after="0" w:line="240" w:lineRule="auto"/>
      <w:jc w:val="both"/>
    </w:pPr>
    <w:rPr>
      <w:color w:val="FFFFFF"/>
      <w:sz w:val="24"/>
      <w:szCs w:val="24"/>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60E8D"/>
    <w:pPr>
      <w:spacing w:after="0" w:line="240" w:lineRule="auto"/>
      <w:jc w:val="both"/>
    </w:pPr>
    <w:rPr>
      <w:sz w:val="24"/>
      <w:szCs w:val="24"/>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60E8D"/>
    <w:pPr>
      <w:spacing w:after="0" w:line="240" w:lineRule="auto"/>
      <w:jc w:val="both"/>
    </w:pPr>
    <w:rPr>
      <w:sz w:val="24"/>
      <w:szCs w:val="24"/>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760E8D"/>
    <w:pPr>
      <w:spacing w:after="0" w:line="240" w:lineRule="auto"/>
      <w:jc w:val="both"/>
    </w:pPr>
    <w:rPr>
      <w:b/>
      <w:bCs/>
      <w:sz w:val="24"/>
      <w:szCs w:val="24"/>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60E8D"/>
    <w:pPr>
      <w:spacing w:after="0" w:line="240" w:lineRule="auto"/>
      <w:jc w:val="both"/>
    </w:pPr>
    <w:rPr>
      <w:b/>
      <w:bCs/>
      <w:sz w:val="24"/>
      <w:szCs w:val="24"/>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60E8D"/>
    <w:pPr>
      <w:spacing w:after="0" w:line="240" w:lineRule="auto"/>
      <w:jc w:val="both"/>
    </w:pPr>
    <w:rPr>
      <w:b/>
      <w:bCs/>
      <w:sz w:val="24"/>
      <w:szCs w:val="24"/>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60E8D"/>
    <w:pPr>
      <w:spacing w:after="0" w:line="240" w:lineRule="auto"/>
      <w:jc w:val="both"/>
    </w:pPr>
    <w:rPr>
      <w:sz w:val="24"/>
      <w:szCs w:val="24"/>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60E8D"/>
    <w:pPr>
      <w:spacing w:after="0" w:line="240" w:lineRule="auto"/>
      <w:jc w:val="both"/>
    </w:pPr>
    <w:rPr>
      <w:sz w:val="24"/>
      <w:szCs w:val="24"/>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760E8D"/>
    <w:pPr>
      <w:spacing w:after="0" w:line="240" w:lineRule="auto"/>
      <w:jc w:val="both"/>
    </w:pPr>
    <w:rPr>
      <w:sz w:val="24"/>
      <w:szCs w:val="24"/>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60E8D"/>
    <w:pPr>
      <w:spacing w:after="0" w:line="240" w:lineRule="auto"/>
      <w:jc w:val="both"/>
    </w:pPr>
    <w:rPr>
      <w:sz w:val="24"/>
      <w:szCs w:val="24"/>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60E8D"/>
    <w:pPr>
      <w:spacing w:after="0" w:line="240" w:lineRule="auto"/>
      <w:jc w:val="both"/>
    </w:pPr>
    <w:rPr>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60E8D"/>
    <w:pPr>
      <w:spacing w:after="0" w:line="240" w:lineRule="auto"/>
      <w:jc w:val="both"/>
    </w:pPr>
    <w:rPr>
      <w:sz w:val="24"/>
      <w:szCs w:val="24"/>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60E8D"/>
    <w:pPr>
      <w:spacing w:after="0" w:line="240" w:lineRule="auto"/>
      <w:jc w:val="both"/>
    </w:pPr>
    <w:rPr>
      <w:sz w:val="24"/>
      <w:szCs w:val="24"/>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60E8D"/>
    <w:pPr>
      <w:spacing w:after="0" w:line="240" w:lineRule="auto"/>
      <w:jc w:val="both"/>
    </w:pPr>
    <w:rPr>
      <w:sz w:val="24"/>
      <w:szCs w:val="24"/>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60E8D"/>
    <w:pPr>
      <w:spacing w:after="0" w:line="240" w:lineRule="auto"/>
      <w:jc w:val="both"/>
    </w:pPr>
    <w:rPr>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60E8D"/>
    <w:pPr>
      <w:spacing w:after="0" w:line="240" w:lineRule="auto"/>
      <w:jc w:val="both"/>
    </w:pPr>
    <w:rPr>
      <w:sz w:val="24"/>
      <w:szCs w:val="24"/>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60E8D"/>
    <w:pPr>
      <w:spacing w:after="0" w:line="240" w:lineRule="auto"/>
      <w:jc w:val="both"/>
    </w:pPr>
    <w:rPr>
      <w:b/>
      <w:bCs/>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60E8D"/>
    <w:pPr>
      <w:spacing w:after="0" w:line="240" w:lineRule="auto"/>
      <w:jc w:val="both"/>
    </w:pPr>
    <w:rPr>
      <w:sz w:val="24"/>
      <w:szCs w:val="24"/>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760E8D"/>
    <w:pPr>
      <w:spacing w:after="0" w:line="240" w:lineRule="auto"/>
      <w:jc w:val="both"/>
    </w:pPr>
    <w:rPr>
      <w:sz w:val="24"/>
      <w:szCs w:val="24"/>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760E8D"/>
    <w:pPr>
      <w:spacing w:after="0" w:line="240" w:lineRule="auto"/>
      <w:jc w:val="both"/>
    </w:pPr>
    <w:rPr>
      <w:sz w:val="24"/>
      <w:szCs w:val="24"/>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760E8D"/>
    <w:pPr>
      <w:spacing w:after="0" w:line="240" w:lineRule="auto"/>
      <w:jc w:val="both"/>
    </w:pPr>
    <w:rPr>
      <w:sz w:val="24"/>
      <w:szCs w:val="24"/>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760E8D"/>
    <w:pPr>
      <w:spacing w:after="0" w:line="240" w:lineRule="auto"/>
      <w:jc w:val="both"/>
    </w:pPr>
    <w:rPr>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60E8D"/>
    <w:pPr>
      <w:spacing w:after="0" w:line="240" w:lineRule="auto"/>
      <w:jc w:val="both"/>
    </w:pPr>
    <w:rPr>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60E8D"/>
    <w:pPr>
      <w:spacing w:after="0" w:line="240" w:lineRule="auto"/>
      <w:jc w:val="both"/>
    </w:pPr>
    <w:rPr>
      <w:sz w:val="24"/>
      <w:szCs w:val="24"/>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60E8D"/>
    <w:pPr>
      <w:spacing w:after="0" w:line="240" w:lineRule="auto"/>
      <w:jc w:val="both"/>
    </w:pPr>
    <w:rPr>
      <w:sz w:val="24"/>
      <w:szCs w:val="24"/>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60E8D"/>
    <w:pPr>
      <w:spacing w:after="0" w:line="240" w:lineRule="auto"/>
      <w:jc w:val="both"/>
    </w:pPr>
    <w:rPr>
      <w:sz w:val="24"/>
      <w:szCs w:val="24"/>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8"/>
    <w:semiHidden/>
    <w:rsid w:val="00760E8D"/>
    <w:pPr>
      <w:spacing w:after="0" w:line="240" w:lineRule="auto"/>
      <w:ind w:left="240" w:hanging="240"/>
    </w:pPr>
    <w:rPr>
      <w:sz w:val="24"/>
      <w:szCs w:val="24"/>
    </w:rPr>
  </w:style>
  <w:style w:type="paragraph" w:styleId="Tabledesillustrations">
    <w:name w:val="table of figures"/>
    <w:basedOn w:val="Normal"/>
    <w:next w:val="Normal"/>
    <w:uiPriority w:val="98"/>
    <w:semiHidden/>
    <w:rsid w:val="00760E8D"/>
    <w:pPr>
      <w:spacing w:after="0" w:line="240" w:lineRule="auto"/>
    </w:pPr>
    <w:rPr>
      <w:sz w:val="24"/>
      <w:szCs w:val="24"/>
    </w:rPr>
  </w:style>
  <w:style w:type="table" w:styleId="Tableauprofessionnel">
    <w:name w:val="Table Professional"/>
    <w:basedOn w:val="TableauNormal"/>
    <w:uiPriority w:val="99"/>
    <w:semiHidden/>
    <w:unhideWhenUsed/>
    <w:rsid w:val="00760E8D"/>
    <w:pPr>
      <w:spacing w:after="0" w:line="240" w:lineRule="auto"/>
      <w:jc w:val="both"/>
    </w:pPr>
    <w:rPr>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760E8D"/>
    <w:pPr>
      <w:spacing w:after="0" w:line="240" w:lineRule="auto"/>
      <w:jc w:val="both"/>
    </w:pPr>
    <w:rPr>
      <w:sz w:val="24"/>
      <w:szCs w:val="24"/>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760E8D"/>
    <w:pPr>
      <w:spacing w:after="0" w:line="240" w:lineRule="auto"/>
      <w:jc w:val="both"/>
    </w:pPr>
    <w:rPr>
      <w:sz w:val="24"/>
      <w:szCs w:val="24"/>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760E8D"/>
    <w:pPr>
      <w:spacing w:after="0" w:line="240" w:lineRule="auto"/>
      <w:jc w:val="both"/>
    </w:pPr>
    <w:rPr>
      <w:sz w:val="24"/>
      <w:szCs w:val="24"/>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760E8D"/>
    <w:pPr>
      <w:spacing w:after="0" w:line="240" w:lineRule="auto"/>
      <w:jc w:val="both"/>
    </w:pPr>
    <w:rPr>
      <w:sz w:val="24"/>
      <w:szCs w:val="24"/>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60E8D"/>
    <w:pPr>
      <w:spacing w:after="0" w:line="240" w:lineRule="auto"/>
      <w:jc w:val="both"/>
    </w:pPr>
    <w:rPr>
      <w:sz w:val="24"/>
      <w:szCs w:val="24"/>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60E8D"/>
    <w:pPr>
      <w:spacing w:after="0" w:line="240" w:lineRule="auto"/>
      <w:jc w:val="both"/>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760E8D"/>
    <w:pPr>
      <w:spacing w:after="0" w:line="240" w:lineRule="auto"/>
      <w:jc w:val="both"/>
    </w:pPr>
    <w:rPr>
      <w:sz w:val="24"/>
      <w:szCs w:val="24"/>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60E8D"/>
    <w:pPr>
      <w:spacing w:after="0" w:line="240" w:lineRule="auto"/>
      <w:jc w:val="both"/>
    </w:pPr>
    <w:rPr>
      <w:sz w:val="24"/>
      <w:szCs w:val="24"/>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60E8D"/>
    <w:pPr>
      <w:spacing w:after="0" w:line="240" w:lineRule="auto"/>
      <w:jc w:val="both"/>
    </w:pPr>
    <w:rPr>
      <w:sz w:val="24"/>
      <w:szCs w:val="24"/>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M6">
    <w:name w:val="toc 6"/>
    <w:basedOn w:val="Normal"/>
    <w:next w:val="Normal"/>
    <w:autoRedefine/>
    <w:uiPriority w:val="98"/>
    <w:semiHidden/>
    <w:rsid w:val="00760E8D"/>
    <w:pPr>
      <w:tabs>
        <w:tab w:val="right" w:leader="dot" w:pos="7371"/>
      </w:tabs>
      <w:spacing w:after="60" w:line="240" w:lineRule="exact"/>
      <w:ind w:left="2041" w:right="567" w:hanging="340"/>
    </w:pPr>
    <w:rPr>
      <w:sz w:val="20"/>
      <w:szCs w:val="24"/>
    </w:rPr>
  </w:style>
  <w:style w:type="paragraph" w:styleId="TM7">
    <w:name w:val="toc 7"/>
    <w:basedOn w:val="Normal"/>
    <w:next w:val="Normal"/>
    <w:autoRedefine/>
    <w:uiPriority w:val="98"/>
    <w:semiHidden/>
    <w:rsid w:val="00760E8D"/>
    <w:pPr>
      <w:tabs>
        <w:tab w:val="right" w:leader="dot" w:pos="7371"/>
      </w:tabs>
      <w:spacing w:after="60" w:line="240" w:lineRule="exact"/>
      <w:ind w:left="2381" w:right="567" w:hanging="340"/>
    </w:pPr>
    <w:rPr>
      <w:sz w:val="20"/>
      <w:szCs w:val="24"/>
    </w:rPr>
  </w:style>
  <w:style w:type="paragraph" w:styleId="TM8">
    <w:name w:val="toc 8"/>
    <w:basedOn w:val="Normal"/>
    <w:next w:val="Normal"/>
    <w:autoRedefine/>
    <w:uiPriority w:val="98"/>
    <w:semiHidden/>
    <w:rsid w:val="00760E8D"/>
    <w:pPr>
      <w:spacing w:after="100" w:line="240" w:lineRule="auto"/>
      <w:ind w:left="1680"/>
    </w:pPr>
    <w:rPr>
      <w:sz w:val="24"/>
      <w:szCs w:val="24"/>
    </w:rPr>
  </w:style>
  <w:style w:type="paragraph" w:styleId="TM9">
    <w:name w:val="toc 9"/>
    <w:basedOn w:val="Normal"/>
    <w:next w:val="Normal"/>
    <w:autoRedefine/>
    <w:uiPriority w:val="98"/>
    <w:semiHidden/>
    <w:rsid w:val="00760E8D"/>
    <w:pPr>
      <w:spacing w:after="100" w:line="240" w:lineRule="auto"/>
      <w:ind w:left="1920"/>
    </w:pPr>
    <w:rPr>
      <w:sz w:val="24"/>
      <w:szCs w:val="24"/>
    </w:rPr>
  </w:style>
  <w:style w:type="paragraph" w:customStyle="1" w:styleId="ECHRFooter">
    <w:name w:val="ECHR_Footer"/>
    <w:aliases w:val="Footer_ECHR"/>
    <w:basedOn w:val="Pieddepage"/>
    <w:uiPriority w:val="57"/>
    <w:semiHidden/>
    <w:rsid w:val="00760E8D"/>
    <w:rPr>
      <w:sz w:val="8"/>
    </w:rPr>
  </w:style>
  <w:style w:type="paragraph" w:customStyle="1" w:styleId="ECHRFooterLine">
    <w:name w:val="ECHR_Footer_Line"/>
    <w:aliases w:val="_Footer_Line"/>
    <w:basedOn w:val="Normal"/>
    <w:next w:val="Normal"/>
    <w:uiPriority w:val="29"/>
    <w:semiHidden/>
    <w:rsid w:val="00760E8D"/>
    <w:pPr>
      <w:pBdr>
        <w:top w:val="single" w:sz="6" w:space="1" w:color="5F5F5F"/>
      </w:pBdr>
      <w:tabs>
        <w:tab w:val="center" w:pos="3686"/>
        <w:tab w:val="right" w:pos="7371"/>
      </w:tabs>
      <w:spacing w:after="0" w:line="240" w:lineRule="auto"/>
      <w:ind w:left="-1474" w:right="-1474"/>
    </w:pPr>
    <w:rPr>
      <w:color w:val="5F5F5F"/>
      <w:sz w:val="24"/>
      <w:szCs w:val="24"/>
    </w:rPr>
  </w:style>
  <w:style w:type="paragraph" w:customStyle="1" w:styleId="DecHCase">
    <w:name w:val="Dec_H_Case"/>
    <w:aliases w:val="_Title_3"/>
    <w:basedOn w:val="ECHRPara"/>
    <w:next w:val="ECHRPara"/>
    <w:uiPriority w:val="38"/>
    <w:qFormat/>
    <w:rsid w:val="00760E8D"/>
    <w:pPr>
      <w:keepNext/>
      <w:keepLines/>
      <w:spacing w:after="280"/>
      <w:ind w:firstLine="0"/>
      <w:jc w:val="center"/>
    </w:pPr>
    <w:rPr>
      <w:rFonts w:asciiTheme="majorHAnsi" w:eastAsiaTheme="minorHAnsi" w:hAnsiTheme="majorHAnsi"/>
      <w:szCs w:val="24"/>
      <w:lang w:val="fr-FR"/>
    </w:rPr>
  </w:style>
  <w:style w:type="paragraph" w:customStyle="1" w:styleId="JuTitle">
    <w:name w:val="Ju_Title"/>
    <w:aliases w:val="_Title_2"/>
    <w:basedOn w:val="Normal"/>
    <w:next w:val="ECHRPara"/>
    <w:uiPriority w:val="38"/>
    <w:qFormat/>
    <w:rsid w:val="00760E8D"/>
    <w:pPr>
      <w:keepNext/>
      <w:keepLines/>
      <w:spacing w:before="1320" w:after="280" w:line="240" w:lineRule="auto"/>
      <w:contextualSpacing/>
      <w:jc w:val="center"/>
    </w:pPr>
    <w:rPr>
      <w:b/>
      <w:sz w:val="24"/>
      <w:szCs w:val="24"/>
    </w:rPr>
  </w:style>
  <w:style w:type="paragraph" w:customStyle="1" w:styleId="ECHRHeaderLandscape">
    <w:name w:val="ECHR_Header_Landscape"/>
    <w:aliases w:val="_Header_Landscape"/>
    <w:basedOn w:val="JuHeader"/>
    <w:uiPriority w:val="29"/>
    <w:semiHidden/>
    <w:rsid w:val="00760E8D"/>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760E8D"/>
    <w:pPr>
      <w:numPr>
        <w:numId w:val="5"/>
      </w:numPr>
      <w:spacing w:before="60" w:after="60"/>
    </w:pPr>
  </w:style>
  <w:style w:type="paragraph" w:customStyle="1" w:styleId="ECHRBullet2">
    <w:name w:val="ECHR_Bullet_2"/>
    <w:aliases w:val="_Bul_2"/>
    <w:basedOn w:val="ECHRBullet1"/>
    <w:uiPriority w:val="23"/>
    <w:semiHidden/>
    <w:rsid w:val="00760E8D"/>
    <w:pPr>
      <w:numPr>
        <w:ilvl w:val="1"/>
      </w:numPr>
    </w:pPr>
  </w:style>
  <w:style w:type="paragraph" w:customStyle="1" w:styleId="ECHRBullet3">
    <w:name w:val="ECHR_Bullet_3"/>
    <w:aliases w:val="_Bul_3"/>
    <w:basedOn w:val="ECHRBullet2"/>
    <w:uiPriority w:val="23"/>
    <w:semiHidden/>
    <w:rsid w:val="00760E8D"/>
    <w:pPr>
      <w:numPr>
        <w:ilvl w:val="2"/>
      </w:numPr>
    </w:pPr>
  </w:style>
  <w:style w:type="paragraph" w:customStyle="1" w:styleId="ECHRBullet4">
    <w:name w:val="ECHR_Bullet_4"/>
    <w:aliases w:val="_Bul_4"/>
    <w:basedOn w:val="ECHRBullet3"/>
    <w:uiPriority w:val="23"/>
    <w:semiHidden/>
    <w:rsid w:val="00760E8D"/>
    <w:pPr>
      <w:numPr>
        <w:ilvl w:val="3"/>
      </w:numPr>
    </w:pPr>
  </w:style>
  <w:style w:type="paragraph" w:customStyle="1" w:styleId="ECHRConfidential">
    <w:name w:val="ECHR_Confidential"/>
    <w:aliases w:val="_Confidential"/>
    <w:basedOn w:val="Normal"/>
    <w:next w:val="Normal"/>
    <w:uiPriority w:val="42"/>
    <w:semiHidden/>
    <w:qFormat/>
    <w:rsid w:val="00760E8D"/>
    <w:pPr>
      <w:spacing w:after="0" w:line="240" w:lineRule="auto"/>
      <w:jc w:val="right"/>
    </w:pPr>
    <w:rPr>
      <w:color w:val="C00000"/>
      <w:sz w:val="20"/>
      <w:szCs w:val="24"/>
    </w:rPr>
  </w:style>
  <w:style w:type="paragraph" w:customStyle="1" w:styleId="ECHRDecisionBody">
    <w:name w:val="ECHR_Decision_Body"/>
    <w:aliases w:val="_Decision_Body"/>
    <w:basedOn w:val="NormalJustified"/>
    <w:uiPriority w:val="54"/>
    <w:semiHidden/>
    <w:rsid w:val="00760E8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60E8D"/>
    <w:pPr>
      <w:spacing w:after="0" w:line="240" w:lineRule="auto"/>
      <w:contextualSpacing/>
      <w:jc w:val="center"/>
    </w:pPr>
    <w:rPr>
      <w:rFonts w:ascii="Arial" w:hAnsi="Arial"/>
      <w:i/>
      <w:color w:val="002856"/>
      <w:sz w:val="32"/>
      <w:szCs w:val="24"/>
    </w:rPr>
  </w:style>
  <w:style w:type="character" w:customStyle="1" w:styleId="ECHRDivisionNameChar">
    <w:name w:val="ECHR_DivisionName Char"/>
    <w:aliases w:val="_Div_Name Char"/>
    <w:basedOn w:val="Policepardfaut"/>
    <w:link w:val="ECHRDivisionName"/>
    <w:uiPriority w:val="41"/>
    <w:semiHidden/>
    <w:rsid w:val="00760E8D"/>
    <w:rPr>
      <w:rFonts w:ascii="Arial" w:hAnsi="Arial"/>
      <w:i/>
      <w:color w:val="002856"/>
      <w:sz w:val="32"/>
      <w:szCs w:val="24"/>
    </w:rPr>
  </w:style>
  <w:style w:type="paragraph" w:customStyle="1" w:styleId="ECHRFooterLineLandscape">
    <w:name w:val="ECHR_Footer_Line_Landscape"/>
    <w:aliases w:val="_Footer_Line_Landscape"/>
    <w:basedOn w:val="Normal"/>
    <w:uiPriority w:val="29"/>
    <w:semiHidden/>
    <w:rsid w:val="00760E8D"/>
    <w:pPr>
      <w:pBdr>
        <w:top w:val="single" w:sz="8" w:space="1" w:color="7F7F7F" w:themeColor="text1" w:themeTint="80"/>
      </w:pBdr>
      <w:tabs>
        <w:tab w:val="center" w:pos="6146"/>
        <w:tab w:val="right" w:pos="12293"/>
      </w:tabs>
      <w:spacing w:after="0" w:line="240" w:lineRule="auto"/>
      <w:ind w:left="-1474" w:right="-1474"/>
    </w:pPr>
    <w:rPr>
      <w:color w:val="7B7B7B" w:themeColor="accent3" w:themeShade="BF"/>
      <w:szCs w:val="24"/>
    </w:rPr>
  </w:style>
  <w:style w:type="paragraph" w:customStyle="1" w:styleId="ECHRHeaderDate">
    <w:name w:val="ECHR_Header_Date"/>
    <w:aliases w:val="_Ref_Date"/>
    <w:basedOn w:val="Normal"/>
    <w:uiPriority w:val="44"/>
    <w:semiHidden/>
    <w:qFormat/>
    <w:rsid w:val="00760E8D"/>
    <w:pPr>
      <w:spacing w:after="0" w:line="240" w:lineRule="auto"/>
      <w:jc w:val="right"/>
    </w:pPr>
    <w:rPr>
      <w:sz w:val="20"/>
      <w:szCs w:val="24"/>
    </w:rPr>
  </w:style>
  <w:style w:type="paragraph" w:customStyle="1" w:styleId="ECHRHeaderRefIt">
    <w:name w:val="ECHR_Header_Ref_It"/>
    <w:aliases w:val="_Ref_Ital"/>
    <w:basedOn w:val="Normal"/>
    <w:next w:val="ECHRHeaderDate"/>
    <w:uiPriority w:val="43"/>
    <w:qFormat/>
    <w:rsid w:val="00760E8D"/>
    <w:pPr>
      <w:spacing w:after="0" w:line="240" w:lineRule="auto"/>
      <w:jc w:val="right"/>
    </w:pPr>
    <w:rPr>
      <w:i/>
      <w:sz w:val="20"/>
      <w:szCs w:val="24"/>
    </w:rPr>
  </w:style>
  <w:style w:type="paragraph" w:customStyle="1" w:styleId="ECHRHeading9">
    <w:name w:val="ECHR_Heading_9"/>
    <w:aliases w:val="_Head_9"/>
    <w:basedOn w:val="Titre9"/>
    <w:uiPriority w:val="17"/>
    <w:semiHidden/>
    <w:rsid w:val="00760E8D"/>
    <w:pPr>
      <w:numPr>
        <w:ilvl w:val="0"/>
        <w:numId w:val="0"/>
      </w:numPr>
      <w:spacing w:before="100" w:beforeAutospacing="1" w:line="240" w:lineRule="auto"/>
      <w:ind w:left="1361" w:hanging="170"/>
      <w:contextualSpacing/>
      <w:jc w:val="both"/>
    </w:pPr>
    <w:rPr>
      <w:i w:val="0"/>
      <w:color w:val="auto"/>
      <w:spacing w:val="5"/>
      <w:sz w:val="18"/>
      <w:szCs w:val="20"/>
      <w:lang w:bidi="en-US"/>
    </w:rPr>
  </w:style>
  <w:style w:type="paragraph" w:customStyle="1" w:styleId="ECHRLine">
    <w:name w:val="ECHR_Line"/>
    <w:aliases w:val="_Line"/>
    <w:basedOn w:val="NormalJustified"/>
    <w:next w:val="Normal"/>
    <w:uiPriority w:val="46"/>
    <w:semiHidden/>
    <w:rsid w:val="00760E8D"/>
    <w:pPr>
      <w:pBdr>
        <w:bottom w:val="single" w:sz="12" w:space="1" w:color="323E4F" w:themeColor="text2" w:themeShade="BF"/>
      </w:pBdr>
      <w:spacing w:after="120"/>
    </w:pPr>
    <w:rPr>
      <w:sz w:val="12"/>
    </w:rPr>
  </w:style>
  <w:style w:type="paragraph" w:customStyle="1" w:styleId="ECHRNumberedList1">
    <w:name w:val="ECHR_Numbered_List_1"/>
    <w:aliases w:val="_Num_1"/>
    <w:basedOn w:val="Normal"/>
    <w:uiPriority w:val="23"/>
    <w:semiHidden/>
    <w:qFormat/>
    <w:rsid w:val="00760E8D"/>
    <w:pPr>
      <w:numPr>
        <w:numId w:val="7"/>
      </w:numPr>
      <w:spacing w:before="60" w:after="60" w:line="240" w:lineRule="auto"/>
    </w:pPr>
    <w:rPr>
      <w:sz w:val="24"/>
      <w:szCs w:val="24"/>
    </w:rPr>
  </w:style>
  <w:style w:type="paragraph" w:customStyle="1" w:styleId="ECHRNumberedList2">
    <w:name w:val="ECHR_Numbered_List_2"/>
    <w:aliases w:val="_Num_2"/>
    <w:basedOn w:val="ECHRNumberedList1"/>
    <w:uiPriority w:val="23"/>
    <w:semiHidden/>
    <w:rsid w:val="00760E8D"/>
    <w:pPr>
      <w:numPr>
        <w:ilvl w:val="1"/>
      </w:numPr>
    </w:pPr>
  </w:style>
  <w:style w:type="paragraph" w:customStyle="1" w:styleId="ECHRNumberedList3">
    <w:name w:val="ECHR_Numbered_List_3"/>
    <w:aliases w:val="_Num_3"/>
    <w:basedOn w:val="ECHRNumberedList2"/>
    <w:uiPriority w:val="23"/>
    <w:semiHidden/>
    <w:rsid w:val="00760E8D"/>
    <w:pPr>
      <w:numPr>
        <w:ilvl w:val="2"/>
      </w:numPr>
    </w:pPr>
  </w:style>
  <w:style w:type="paragraph" w:customStyle="1" w:styleId="ECHRParaHanging">
    <w:name w:val="ECHR_Para_Hanging"/>
    <w:aliases w:val="_Hanging"/>
    <w:basedOn w:val="Normal"/>
    <w:uiPriority w:val="8"/>
    <w:semiHidden/>
    <w:qFormat/>
    <w:rsid w:val="00760E8D"/>
    <w:pPr>
      <w:spacing w:after="0" w:line="240" w:lineRule="auto"/>
      <w:ind w:left="567" w:hanging="567"/>
      <w:jc w:val="both"/>
    </w:pPr>
    <w:rPr>
      <w:sz w:val="24"/>
      <w:szCs w:val="24"/>
    </w:rPr>
  </w:style>
  <w:style w:type="paragraph" w:customStyle="1" w:styleId="ECHRParaIndent">
    <w:name w:val="ECHR_Para_Indent"/>
    <w:aliases w:val="_Indent"/>
    <w:basedOn w:val="Normal"/>
    <w:uiPriority w:val="7"/>
    <w:semiHidden/>
    <w:qFormat/>
    <w:rsid w:val="00760E8D"/>
    <w:pPr>
      <w:spacing w:before="120" w:after="120" w:line="240" w:lineRule="auto"/>
      <w:ind w:left="567"/>
      <w:jc w:val="both"/>
    </w:pPr>
    <w:rPr>
      <w:sz w:val="24"/>
      <w:szCs w:val="24"/>
    </w:rPr>
  </w:style>
  <w:style w:type="character" w:customStyle="1" w:styleId="ECHRRed">
    <w:name w:val="ECHR_Red"/>
    <w:aliases w:val="_Red"/>
    <w:basedOn w:val="Policepardfaut"/>
    <w:uiPriority w:val="15"/>
    <w:semiHidden/>
    <w:qFormat/>
    <w:rsid w:val="00760E8D"/>
    <w:rPr>
      <w:color w:val="ED7D31" w:themeColor="accent2"/>
    </w:rPr>
  </w:style>
  <w:style w:type="paragraph" w:customStyle="1" w:styleId="DecList">
    <w:name w:val="Dec_List"/>
    <w:aliases w:val="_List"/>
    <w:basedOn w:val="JuList"/>
    <w:uiPriority w:val="22"/>
    <w:rsid w:val="00760E8D"/>
    <w:pPr>
      <w:spacing w:before="280" w:after="60"/>
      <w:ind w:left="284" w:firstLine="0"/>
    </w:pPr>
    <w:rPr>
      <w:rFonts w:eastAsiaTheme="minorHAnsi"/>
      <w:szCs w:val="24"/>
      <w:lang w:val="fr-FR"/>
    </w:rPr>
  </w:style>
  <w:style w:type="table" w:customStyle="1" w:styleId="ECHRTable2">
    <w:name w:val="ECHR_Table_2"/>
    <w:basedOn w:val="TableauNormal"/>
    <w:uiPriority w:val="99"/>
    <w:rsid w:val="00760E8D"/>
    <w:pPr>
      <w:tabs>
        <w:tab w:val="left" w:pos="567"/>
        <w:tab w:val="left" w:pos="851"/>
        <w:tab w:val="right" w:pos="5273"/>
      </w:tabs>
      <w:spacing w:after="0" w:line="240" w:lineRule="auto"/>
    </w:pPr>
    <w:rPr>
      <w:color w:val="262626" w:themeColor="text1" w:themeTint="D9"/>
      <w:sz w:val="24"/>
      <w:szCs w:val="24"/>
      <w:lang w:val="en-US"/>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0CECE"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7E6E6"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auNormal"/>
    <w:uiPriority w:val="99"/>
    <w:rsid w:val="00760E8D"/>
    <w:pPr>
      <w:spacing w:after="0" w:line="240" w:lineRule="auto"/>
    </w:pPr>
    <w:rPr>
      <w:sz w:val="24"/>
      <w:szCs w:val="24"/>
      <w:lang w:val="en-US"/>
    </w:rPr>
    <w:tblPr>
      <w:tblStyleRowBandSize w:val="1"/>
      <w:tblStyleColBandSize w:val="1"/>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rPr>
      <w:jc w:val="center"/>
    </w:trPr>
    <w:tblStylePr w:type="firstRow">
      <w:rPr>
        <w:rFonts w:asciiTheme="majorHAnsi" w:hAnsiTheme="majorHAnsi"/>
        <w:b/>
        <w:i w:val="0"/>
        <w:color w:val="E7E6E6" w:themeColor="background2"/>
        <w:sz w:val="22"/>
      </w:rPr>
      <w:tblPr/>
      <w:trPr>
        <w:tblHeader/>
      </w:tr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E7E6E6" w:themeColor="background2"/>
          <w:tl2br w:val="nil"/>
          <w:tr2bl w:val="nil"/>
        </w:tcBorders>
        <w:shd w:val="clear" w:color="auto" w:fill="A5A5A5" w:themeFill="accent3"/>
      </w:tcPr>
    </w:tblStylePr>
    <w:tblStylePr w:type="lastRow">
      <w:rPr>
        <w:b/>
        <w:i w:val="0"/>
      </w:rPr>
      <w:tblPr/>
      <w:tcPr>
        <w:tcBorders>
          <w:top w:val="single" w:sz="8" w:space="0" w:color="A5A5A5" w:themeColor="accent3"/>
          <w:left w:val="single" w:sz="4" w:space="0" w:color="A5A5A5" w:themeColor="accent3"/>
          <w:bottom w:val="single" w:sz="8" w:space="0" w:color="A5A5A5" w:themeColor="accent3"/>
          <w:right w:val="single" w:sz="4" w:space="0" w:color="A5A5A5" w:themeColor="accent3"/>
          <w:insideH w:val="nil"/>
          <w:insideV w:val="single" w:sz="4" w:space="0" w:color="A5A5A5" w:themeColor="accent3"/>
          <w:tl2br w:val="nil"/>
          <w:tr2bl w:val="nil"/>
        </w:tcBorders>
      </w:tcPr>
    </w:tblStylePr>
    <w:tblStylePr w:type="firstCol">
      <w:rPr>
        <w:rFonts w:asciiTheme="majorHAnsi" w:hAnsiTheme="majorHAnsi"/>
        <w:b/>
        <w:i w:val="0"/>
        <w:color w:val="3B3838" w:themeColor="background2" w:themeShade="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l2br w:val="nil"/>
          <w:tr2bl w:val="nil"/>
        </w:tcBorders>
        <w:shd w:val="clear" w:color="auto" w:fill="ACB9CA" w:themeFill="text2" w:themeFillTint="66"/>
      </w:tcPr>
    </w:tblStylePr>
    <w:tblStylePr w:type="lastCol">
      <w:rPr>
        <w:b/>
        <w:i w:val="0"/>
      </w:rPr>
    </w:tblStylePr>
    <w:tblStylePr w:type="band2Vert">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l2br w:val="nil"/>
          <w:tr2bl w:val="nil"/>
        </w:tcBorders>
        <w:shd w:val="clear" w:color="auto" w:fill="ACB9CA" w:themeFill="text2" w:themeFillTint="66"/>
      </w:tcPr>
    </w:tblStylePr>
    <w:tblStylePr w:type="band2Horz">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ACB9CA" w:themeFill="text2" w:themeFillTint="66"/>
      </w:tcPr>
    </w:tblStylePr>
  </w:style>
  <w:style w:type="paragraph" w:customStyle="1" w:styleId="ECHRTitle2">
    <w:name w:val="ECHR_Title_2"/>
    <w:aliases w:val="_Title_L_2"/>
    <w:basedOn w:val="Normal"/>
    <w:next w:val="Normal"/>
    <w:uiPriority w:val="28"/>
    <w:semiHidden/>
    <w:qFormat/>
    <w:rsid w:val="00760E8D"/>
    <w:pPr>
      <w:keepNext/>
      <w:keepLines/>
      <w:spacing w:before="240" w:after="0" w:line="240" w:lineRule="auto"/>
      <w:contextualSpacing/>
    </w:pPr>
    <w:rPr>
      <w:rFonts w:asciiTheme="majorHAnsi" w:hAnsiTheme="majorHAnsi"/>
      <w:b/>
      <w:color w:val="7B7B7B" w:themeColor="accent3" w:themeShade="BF"/>
      <w:sz w:val="28"/>
      <w:szCs w:val="24"/>
    </w:rPr>
  </w:style>
  <w:style w:type="paragraph" w:customStyle="1" w:styleId="ECHRTitle3">
    <w:name w:val="ECHR_Title_3"/>
    <w:aliases w:val="_Title_L_3"/>
    <w:basedOn w:val="Normal"/>
    <w:next w:val="Normal"/>
    <w:uiPriority w:val="28"/>
    <w:semiHidden/>
    <w:qFormat/>
    <w:rsid w:val="00760E8D"/>
    <w:pPr>
      <w:keepNext/>
      <w:keepLines/>
      <w:spacing w:before="240" w:after="0" w:line="240" w:lineRule="auto"/>
      <w:contextualSpacing/>
    </w:pPr>
    <w:rPr>
      <w:rFonts w:asciiTheme="majorHAnsi" w:hAnsiTheme="majorHAnsi"/>
      <w:b/>
      <w:color w:val="7B7B7B" w:themeColor="accent3" w:themeShade="BF"/>
      <w:sz w:val="24"/>
      <w:szCs w:val="24"/>
    </w:rPr>
  </w:style>
  <w:style w:type="paragraph" w:customStyle="1" w:styleId="ECHRTitleCentre1">
    <w:name w:val="ECHR_Title_Centre_1"/>
    <w:aliases w:val="_Title_C_1"/>
    <w:basedOn w:val="Normal"/>
    <w:next w:val="Normal"/>
    <w:uiPriority w:val="26"/>
    <w:semiHidden/>
    <w:qFormat/>
    <w:rsid w:val="00760E8D"/>
    <w:pPr>
      <w:keepNext/>
      <w:keepLines/>
      <w:spacing w:before="240" w:after="0" w:line="240" w:lineRule="auto"/>
      <w:contextualSpacing/>
      <w:jc w:val="center"/>
    </w:pPr>
    <w:rPr>
      <w:rFonts w:asciiTheme="majorHAnsi" w:hAnsiTheme="majorHAnsi"/>
      <w:b/>
      <w:color w:val="525252" w:themeColor="accent3" w:themeShade="80"/>
      <w:sz w:val="32"/>
      <w:szCs w:val="24"/>
    </w:rPr>
  </w:style>
  <w:style w:type="paragraph" w:customStyle="1" w:styleId="ECHRTitleCentre2">
    <w:name w:val="ECHR_Title_Centre_2"/>
    <w:aliases w:val="_Title_C_2"/>
    <w:basedOn w:val="Normal"/>
    <w:next w:val="Normal"/>
    <w:uiPriority w:val="26"/>
    <w:semiHidden/>
    <w:qFormat/>
    <w:rsid w:val="00760E8D"/>
    <w:pPr>
      <w:keepNext/>
      <w:keepLines/>
      <w:spacing w:before="240" w:after="0" w:line="240" w:lineRule="auto"/>
      <w:contextualSpacing/>
      <w:jc w:val="center"/>
    </w:pPr>
    <w:rPr>
      <w:rFonts w:asciiTheme="majorHAnsi" w:hAnsiTheme="majorHAnsi"/>
      <w:b/>
      <w:color w:val="7B7B7B" w:themeColor="accent3" w:themeShade="BF"/>
      <w:sz w:val="28"/>
      <w:szCs w:val="24"/>
    </w:rPr>
  </w:style>
  <w:style w:type="paragraph" w:customStyle="1" w:styleId="ECHRTitleCentre3">
    <w:name w:val="ECHR_Title_Centre_3"/>
    <w:aliases w:val="_Title_C_3"/>
    <w:basedOn w:val="Normal"/>
    <w:next w:val="Normal"/>
    <w:uiPriority w:val="26"/>
    <w:semiHidden/>
    <w:qFormat/>
    <w:rsid w:val="00760E8D"/>
    <w:pPr>
      <w:keepNext/>
      <w:keepLines/>
      <w:spacing w:before="240" w:after="0" w:line="240" w:lineRule="auto"/>
      <w:contextualSpacing/>
      <w:jc w:val="center"/>
    </w:pPr>
    <w:rPr>
      <w:rFonts w:asciiTheme="majorHAnsi" w:hAnsiTheme="majorHAnsi"/>
      <w:b/>
      <w:color w:val="7B7B7B" w:themeColor="accent3" w:themeShade="BF"/>
      <w:sz w:val="24"/>
      <w:szCs w:val="24"/>
    </w:rPr>
  </w:style>
  <w:style w:type="paragraph" w:customStyle="1" w:styleId="ECHRTitleCentreTOC1">
    <w:name w:val="ECHR_Title_Centre_TOC_1"/>
    <w:aliases w:val="_Title_C_TOC"/>
    <w:basedOn w:val="ECHRTitleCentre1"/>
    <w:next w:val="Normal"/>
    <w:uiPriority w:val="25"/>
    <w:semiHidden/>
    <w:qFormat/>
    <w:rsid w:val="00760E8D"/>
    <w:pPr>
      <w:outlineLvl w:val="0"/>
    </w:pPr>
  </w:style>
  <w:style w:type="paragraph" w:customStyle="1" w:styleId="ECHRTitleTOC1">
    <w:name w:val="ECHR_Title_TOC_1"/>
    <w:aliases w:val="_Title_L_TOC"/>
    <w:basedOn w:val="ECHRTitle1"/>
    <w:next w:val="Normal"/>
    <w:uiPriority w:val="27"/>
    <w:semiHidden/>
    <w:qFormat/>
    <w:rsid w:val="00760E8D"/>
    <w:pPr>
      <w:spacing w:before="240" w:after="0"/>
      <w:contextualSpacing/>
      <w:jc w:val="left"/>
    </w:pPr>
    <w:rPr>
      <w:rFonts w:eastAsiaTheme="minorHAnsi"/>
      <w:b/>
      <w:color w:val="525252" w:themeColor="accent3" w:themeShade="80"/>
      <w:sz w:val="32"/>
      <w:szCs w:val="24"/>
      <w:lang w:val="fr-FR"/>
    </w:rPr>
  </w:style>
  <w:style w:type="paragraph" w:customStyle="1" w:styleId="ECHRPlaceholder">
    <w:name w:val="ECHR_Placeholder"/>
    <w:aliases w:val="_Placeholder"/>
    <w:basedOn w:val="JuSigned"/>
    <w:uiPriority w:val="31"/>
    <w:rsid w:val="00760E8D"/>
    <w:rPr>
      <w:color w:val="FFFFFF"/>
    </w:rPr>
  </w:style>
  <w:style w:type="paragraph" w:customStyle="1" w:styleId="ECHRSpacer">
    <w:name w:val="ECHR_Spacer"/>
    <w:aliases w:val="_Spacer"/>
    <w:basedOn w:val="Normal"/>
    <w:uiPriority w:val="45"/>
    <w:semiHidden/>
    <w:rsid w:val="00760E8D"/>
    <w:pPr>
      <w:spacing w:after="0" w:line="240" w:lineRule="auto"/>
    </w:pPr>
    <w:rPr>
      <w:sz w:val="4"/>
      <w:szCs w:val="24"/>
    </w:rPr>
  </w:style>
  <w:style w:type="table" w:customStyle="1" w:styleId="ECHRTableGrey">
    <w:name w:val="ECHR_Table_Grey"/>
    <w:basedOn w:val="TableauNormal"/>
    <w:uiPriority w:val="99"/>
    <w:rsid w:val="00760E8D"/>
    <w:pPr>
      <w:tabs>
        <w:tab w:val="left" w:pos="397"/>
      </w:tabs>
      <w:spacing w:after="0" w:line="240" w:lineRule="auto"/>
    </w:pPr>
    <w:rPr>
      <w:lang w:val="en-US"/>
    </w:rPr>
    <w:tblPr>
      <w:jc w:val="center"/>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blBorders>
      <w:tblCellMar>
        <w:top w:w="142" w:type="dxa"/>
        <w:bottom w:w="85" w:type="dxa"/>
      </w:tblCellMar>
    </w:tblPr>
    <w:trPr>
      <w:jc w:val="center"/>
    </w:trPr>
    <w:tcPr>
      <w:shd w:val="clear" w:color="auto" w:fill="E7E6E6" w:themeFill="background2"/>
    </w:tcPr>
    <w:tblStylePr w:type="firstRow">
      <w:rPr>
        <w:b/>
        <w:color w:val="262626" w:themeColor="text1" w:themeTint="D9"/>
      </w:rPr>
    </w:tblStylePr>
  </w:style>
  <w:style w:type="character" w:customStyle="1" w:styleId="JuNames0">
    <w:name w:val="Ju_Names"/>
    <w:rsid w:val="00760E8D"/>
    <w:rPr>
      <w:smallCaps/>
    </w:rPr>
  </w:style>
  <w:style w:type="paragraph" w:customStyle="1" w:styleId="JuList4">
    <w:name w:val="Ju_List_4"/>
    <w:aliases w:val="N_Bul_4"/>
    <w:basedOn w:val="JuListi"/>
    <w:uiPriority w:val="19"/>
    <w:rsid w:val="00760E8D"/>
    <w:pPr>
      <w:tabs>
        <w:tab w:val="num" w:pos="1701"/>
      </w:tabs>
      <w:spacing w:before="60" w:after="60" w:line="240" w:lineRule="exact"/>
      <w:ind w:left="1703" w:hanging="284"/>
      <w:contextualSpacing/>
    </w:pPr>
    <w:rPr>
      <w:sz w:val="22"/>
      <w:lang w:eastAsia="fr-FR"/>
    </w:rPr>
  </w:style>
  <w:style w:type="table" w:styleId="TableauGrille1Clair">
    <w:name w:val="Grid Table 1 Light"/>
    <w:basedOn w:val="TableauNormal"/>
    <w:uiPriority w:val="46"/>
    <w:rsid w:val="00760E8D"/>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nonrsolue1">
    <w:name w:val="Mention non résolue1"/>
    <w:basedOn w:val="Policepardfaut"/>
    <w:uiPriority w:val="99"/>
    <w:semiHidden/>
    <w:unhideWhenUsed/>
    <w:rsid w:val="00760E8D"/>
    <w:rPr>
      <w:color w:val="605E5C"/>
      <w:shd w:val="clear" w:color="auto" w:fill="E1DFDD"/>
    </w:rPr>
  </w:style>
  <w:style w:type="table" w:styleId="TableauGrille1Clair-Accentuation1">
    <w:name w:val="Grid Table 1 Light Accent 1"/>
    <w:basedOn w:val="TableauNormal"/>
    <w:uiPriority w:val="46"/>
    <w:rsid w:val="00760E8D"/>
    <w:pPr>
      <w:spacing w:after="0" w:line="240" w:lineRule="auto"/>
    </w:pPr>
    <w:rPr>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760E8D"/>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760E8D"/>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760E8D"/>
    <w:pPr>
      <w:spacing w:after="0" w:line="240" w:lineRule="auto"/>
    </w:pPr>
    <w:rPr>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760E8D"/>
    <w:pPr>
      <w:spacing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760E8D"/>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760E8D"/>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760E8D"/>
    <w:pPr>
      <w:spacing w:after="0" w:line="240" w:lineRule="auto"/>
    </w:pPr>
    <w:rPr>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760E8D"/>
    <w:pPr>
      <w:spacing w:after="0" w:line="240" w:lineRule="auto"/>
    </w:pPr>
    <w:rPr>
      <w:lang w:val="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760E8D"/>
    <w:pPr>
      <w:spacing w:after="0" w:line="240" w:lineRule="auto"/>
    </w:pPr>
    <w:rPr>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760E8D"/>
    <w:pPr>
      <w:spacing w:after="0" w:line="240" w:lineRule="auto"/>
    </w:pPr>
    <w:rPr>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760E8D"/>
    <w:pPr>
      <w:spacing w:after="0" w:line="240" w:lineRule="auto"/>
    </w:pPr>
    <w:rPr>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760E8D"/>
    <w:pPr>
      <w:spacing w:after="0" w:line="240" w:lineRule="auto"/>
    </w:pPr>
    <w:rPr>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760E8D"/>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760E8D"/>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760E8D"/>
    <w:pPr>
      <w:spacing w:after="0" w:line="240" w:lineRule="auto"/>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760E8D"/>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760E8D"/>
    <w:pPr>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760E8D"/>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760E8D"/>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760E8D"/>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760E8D"/>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760E8D"/>
    <w:pPr>
      <w:spacing w:after="0" w:line="240" w:lineRule="auto"/>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760E8D"/>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760E8D"/>
    <w:pPr>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760E8D"/>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760E8D"/>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760E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760E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760E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760E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760E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760E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760E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760E8D"/>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760E8D"/>
    <w:pPr>
      <w:spacing w:after="0" w:line="240" w:lineRule="auto"/>
    </w:pPr>
    <w:rPr>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760E8D"/>
    <w:pPr>
      <w:spacing w:after="0" w:line="240" w:lineRule="auto"/>
    </w:pPr>
    <w:rPr>
      <w:color w:val="C45911" w:themeColor="accent2" w:themeShade="BF"/>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760E8D"/>
    <w:pPr>
      <w:spacing w:after="0" w:line="240" w:lineRule="auto"/>
    </w:pPr>
    <w:rPr>
      <w:color w:val="7B7B7B" w:themeColor="accent3" w:themeShade="BF"/>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760E8D"/>
    <w:pPr>
      <w:spacing w:after="0" w:line="240" w:lineRule="auto"/>
    </w:pPr>
    <w:rPr>
      <w:color w:val="BF8F00" w:themeColor="accent4" w:themeShade="BF"/>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760E8D"/>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760E8D"/>
    <w:pPr>
      <w:spacing w:after="0" w:line="240" w:lineRule="auto"/>
    </w:pPr>
    <w:rPr>
      <w:color w:val="538135" w:themeColor="accent6" w:themeShade="BF"/>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760E8D"/>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760E8D"/>
    <w:pPr>
      <w:spacing w:after="0" w:line="240" w:lineRule="auto"/>
    </w:pPr>
    <w:rPr>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760E8D"/>
    <w:pPr>
      <w:spacing w:after="0" w:line="240" w:lineRule="auto"/>
    </w:pPr>
    <w:rPr>
      <w:color w:val="C45911" w:themeColor="accent2" w:themeShade="BF"/>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760E8D"/>
    <w:pPr>
      <w:spacing w:after="0" w:line="240" w:lineRule="auto"/>
    </w:pPr>
    <w:rPr>
      <w:color w:val="7B7B7B" w:themeColor="accent3" w:themeShade="BF"/>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760E8D"/>
    <w:pPr>
      <w:spacing w:after="0" w:line="240" w:lineRule="auto"/>
    </w:pPr>
    <w:rPr>
      <w:color w:val="BF8F00" w:themeColor="accent4" w:themeShade="BF"/>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760E8D"/>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760E8D"/>
    <w:pPr>
      <w:spacing w:after="0" w:line="240" w:lineRule="auto"/>
    </w:pPr>
    <w:rPr>
      <w:color w:val="538135" w:themeColor="accent6" w:themeShade="BF"/>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Mot-dise1">
    <w:name w:val="Mot-dièse1"/>
    <w:basedOn w:val="Policepardfaut"/>
    <w:uiPriority w:val="99"/>
    <w:semiHidden/>
    <w:unhideWhenUsed/>
    <w:rsid w:val="00760E8D"/>
    <w:rPr>
      <w:color w:val="2B579A"/>
      <w:shd w:val="clear" w:color="auto" w:fill="E1DFDD"/>
    </w:rPr>
  </w:style>
  <w:style w:type="table" w:styleId="TableauListe1Clair">
    <w:name w:val="List Table 1 Light"/>
    <w:basedOn w:val="TableauNormal"/>
    <w:uiPriority w:val="46"/>
    <w:rsid w:val="00760E8D"/>
    <w:pPr>
      <w:spacing w:after="0" w:line="240" w:lineRule="auto"/>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760E8D"/>
    <w:pPr>
      <w:spacing w:after="0" w:line="240" w:lineRule="auto"/>
    </w:pPr>
    <w:rPr>
      <w:lang w:val="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760E8D"/>
    <w:pPr>
      <w:spacing w:after="0" w:line="240" w:lineRule="auto"/>
    </w:pPr>
    <w:rPr>
      <w:lang w:val="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760E8D"/>
    <w:pPr>
      <w:spacing w:after="0" w:line="240" w:lineRule="auto"/>
    </w:pPr>
    <w:rPr>
      <w:lang w:val="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760E8D"/>
    <w:pPr>
      <w:spacing w:after="0" w:line="240" w:lineRule="auto"/>
    </w:pPr>
    <w:rPr>
      <w:lang w:val="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760E8D"/>
    <w:pPr>
      <w:spacing w:after="0" w:line="240" w:lineRule="auto"/>
    </w:pPr>
    <w:rPr>
      <w:lang w:val="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760E8D"/>
    <w:pPr>
      <w:spacing w:after="0" w:line="240" w:lineRule="auto"/>
    </w:pPr>
    <w:rPr>
      <w:lang w:val="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760E8D"/>
    <w:pPr>
      <w:spacing w:after="0"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760E8D"/>
    <w:pPr>
      <w:spacing w:after="0" w:line="240" w:lineRule="auto"/>
    </w:pPr>
    <w:rPr>
      <w:lang w:val="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760E8D"/>
    <w:pPr>
      <w:spacing w:after="0" w:line="240" w:lineRule="auto"/>
    </w:pPr>
    <w:rPr>
      <w:lang w:val="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760E8D"/>
    <w:pPr>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760E8D"/>
    <w:pPr>
      <w:spacing w:after="0" w:line="240" w:lineRule="auto"/>
    </w:pPr>
    <w:rPr>
      <w:lang w:val="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760E8D"/>
    <w:pPr>
      <w:spacing w:after="0" w:line="240" w:lineRule="auto"/>
    </w:pPr>
    <w:rPr>
      <w:lang w:val="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760E8D"/>
    <w:pPr>
      <w:spacing w:after="0" w:line="240" w:lineRule="auto"/>
    </w:pPr>
    <w:rPr>
      <w:lang w:val="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760E8D"/>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760E8D"/>
    <w:pPr>
      <w:spacing w:after="0" w:line="240" w:lineRule="auto"/>
    </w:pPr>
    <w:rPr>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760E8D"/>
    <w:pPr>
      <w:spacing w:after="0" w:line="240" w:lineRule="auto"/>
    </w:pPr>
    <w:rPr>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760E8D"/>
    <w:pPr>
      <w:spacing w:after="0" w:line="240" w:lineRule="auto"/>
    </w:pPr>
    <w:rPr>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760E8D"/>
    <w:pPr>
      <w:spacing w:after="0" w:line="240" w:lineRule="auto"/>
    </w:pPr>
    <w:rPr>
      <w:lang w:val="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760E8D"/>
    <w:pPr>
      <w:spacing w:after="0" w:line="240" w:lineRule="auto"/>
    </w:pPr>
    <w:rPr>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760E8D"/>
    <w:pPr>
      <w:spacing w:after="0" w:line="240" w:lineRule="auto"/>
    </w:pPr>
    <w:rPr>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760E8D"/>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760E8D"/>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760E8D"/>
    <w:pPr>
      <w:spacing w:after="0" w:line="240" w:lineRule="auto"/>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760E8D"/>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760E8D"/>
    <w:pPr>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760E8D"/>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760E8D"/>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760E8D"/>
    <w:pPr>
      <w:spacing w:after="0" w:line="240" w:lineRule="auto"/>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760E8D"/>
    <w:pPr>
      <w:spacing w:after="0" w:line="240" w:lineRule="auto"/>
    </w:pPr>
    <w:rPr>
      <w:color w:val="FFFFFF" w:themeColor="background1"/>
      <w:lang w:val="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760E8D"/>
    <w:pPr>
      <w:spacing w:after="0" w:line="240" w:lineRule="auto"/>
    </w:pPr>
    <w:rPr>
      <w:color w:val="FFFFFF" w:themeColor="background1"/>
      <w:lang w:val="en-US"/>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760E8D"/>
    <w:pPr>
      <w:spacing w:after="0" w:line="240" w:lineRule="auto"/>
    </w:pPr>
    <w:rPr>
      <w:color w:val="FFFFFF" w:themeColor="background1"/>
      <w:lang w:val="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760E8D"/>
    <w:pPr>
      <w:spacing w:after="0" w:line="240" w:lineRule="auto"/>
    </w:pPr>
    <w:rPr>
      <w:color w:val="FFFFFF" w:themeColor="background1"/>
      <w:lang w:val="en-US"/>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760E8D"/>
    <w:pPr>
      <w:spacing w:after="0" w:line="240" w:lineRule="auto"/>
    </w:pPr>
    <w:rPr>
      <w:color w:val="FFFFFF" w:themeColor="background1"/>
      <w:lang w:val="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760E8D"/>
    <w:pPr>
      <w:spacing w:after="0" w:line="240" w:lineRule="auto"/>
    </w:pPr>
    <w:rPr>
      <w:color w:val="FFFFFF" w:themeColor="background1"/>
      <w:lang w:val="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760E8D"/>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760E8D"/>
    <w:pPr>
      <w:spacing w:after="0" w:line="240" w:lineRule="auto"/>
    </w:pPr>
    <w:rPr>
      <w:color w:val="2F5496" w:themeColor="accent1" w:themeShade="BF"/>
      <w:lang w:val="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760E8D"/>
    <w:pPr>
      <w:spacing w:after="0" w:line="240" w:lineRule="auto"/>
    </w:pPr>
    <w:rPr>
      <w:color w:val="C45911" w:themeColor="accent2" w:themeShade="BF"/>
      <w:lang w:val="en-US"/>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760E8D"/>
    <w:pPr>
      <w:spacing w:after="0" w:line="240" w:lineRule="auto"/>
    </w:pPr>
    <w:rPr>
      <w:color w:val="7B7B7B" w:themeColor="accent3" w:themeShade="BF"/>
      <w:lang w:val="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760E8D"/>
    <w:pPr>
      <w:spacing w:after="0" w:line="240" w:lineRule="auto"/>
    </w:pPr>
    <w:rPr>
      <w:color w:val="BF8F00" w:themeColor="accent4" w:themeShade="BF"/>
      <w:lang w:val="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760E8D"/>
    <w:pPr>
      <w:spacing w:after="0" w:line="240" w:lineRule="auto"/>
    </w:pPr>
    <w:rPr>
      <w:color w:val="2E74B5" w:themeColor="accent5" w:themeShade="BF"/>
      <w:lang w:val="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760E8D"/>
    <w:pPr>
      <w:spacing w:after="0" w:line="240" w:lineRule="auto"/>
    </w:pPr>
    <w:rPr>
      <w:color w:val="538135" w:themeColor="accent6" w:themeShade="BF"/>
      <w:lang w:val="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760E8D"/>
    <w:pPr>
      <w:spacing w:after="0" w:line="240" w:lineRule="auto"/>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760E8D"/>
    <w:pPr>
      <w:spacing w:after="0" w:line="240" w:lineRule="auto"/>
    </w:pPr>
    <w:rPr>
      <w:color w:val="2F5496"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760E8D"/>
    <w:pPr>
      <w:spacing w:after="0" w:line="240" w:lineRule="auto"/>
    </w:pPr>
    <w:rPr>
      <w:color w:val="C45911"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760E8D"/>
    <w:pPr>
      <w:spacing w:after="0" w:line="240" w:lineRule="auto"/>
    </w:pPr>
    <w:rPr>
      <w:color w:val="7B7B7B"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760E8D"/>
    <w:pPr>
      <w:spacing w:after="0" w:line="240" w:lineRule="auto"/>
    </w:pPr>
    <w:rPr>
      <w:color w:val="BF8F00"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760E8D"/>
    <w:pPr>
      <w:spacing w:after="0" w:line="240" w:lineRule="auto"/>
    </w:pPr>
    <w:rPr>
      <w:color w:val="2E74B5"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760E8D"/>
    <w:pPr>
      <w:spacing w:after="0" w:line="240" w:lineRule="auto"/>
    </w:pPr>
    <w:rPr>
      <w:color w:val="538135"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Policepardfaut"/>
    <w:uiPriority w:val="99"/>
    <w:semiHidden/>
    <w:unhideWhenUsed/>
    <w:rsid w:val="00760E8D"/>
    <w:rPr>
      <w:color w:val="2B579A"/>
      <w:shd w:val="clear" w:color="auto" w:fill="E1DFDD"/>
    </w:rPr>
  </w:style>
  <w:style w:type="table" w:styleId="Tableausimple10">
    <w:name w:val="Plain Table 1"/>
    <w:basedOn w:val="TableauNormal"/>
    <w:uiPriority w:val="41"/>
    <w:rsid w:val="00760E8D"/>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760E8D"/>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760E8D"/>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60E8D"/>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60E8D"/>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Policepardfaut"/>
    <w:uiPriority w:val="99"/>
    <w:semiHidden/>
    <w:unhideWhenUsed/>
    <w:rsid w:val="00760E8D"/>
    <w:rPr>
      <w:u w:val="dotted"/>
    </w:rPr>
  </w:style>
  <w:style w:type="character" w:customStyle="1" w:styleId="SmartLink1">
    <w:name w:val="SmartLink1"/>
    <w:basedOn w:val="Policepardfaut"/>
    <w:uiPriority w:val="99"/>
    <w:semiHidden/>
    <w:unhideWhenUsed/>
    <w:rsid w:val="00760E8D"/>
    <w:rPr>
      <w:color w:val="0000FF"/>
      <w:u w:val="single"/>
      <w:shd w:val="clear" w:color="auto" w:fill="F3F2F1"/>
    </w:rPr>
  </w:style>
  <w:style w:type="table" w:styleId="Grilledetableauclaire">
    <w:name w:val="Grid Table Light"/>
    <w:basedOn w:val="TableauNormal"/>
    <w:uiPriority w:val="40"/>
    <w:rsid w:val="00760E8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upara">
    <w:name w:val="jupara"/>
    <w:basedOn w:val="Normal"/>
    <w:rsid w:val="00760E8D"/>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760E8D"/>
    <w:pPr>
      <w:spacing w:after="0" w:line="240" w:lineRule="auto"/>
      <w:ind w:firstLine="284"/>
      <w:jc w:val="both"/>
    </w:pPr>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9671</Words>
  <Characters>53196</Characters>
  <Application>Microsoft Office Word</Application>
  <DocSecurity>0</DocSecurity>
  <Lines>443</Lines>
  <Paragraphs>125</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1.  Questions préliminaires</vt:lpstr>
      <vt:lpstr>        2.  Sur la condition d’irréversibilité de la transformation de l’apparence</vt:lpstr>
      <vt:lpstr>        3.  Sur la condition de réalité du syndrome transsexuel (requête no 52471/13)</vt:lpstr>
      <vt:lpstr>        4.  Sur l’obligation de subir un examen médical (requête no 79885/12)</vt:lpstr>
    </vt:vector>
  </TitlesOfParts>
  <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Gouttenoire</dc:creator>
  <cp:keywords/>
  <dc:description/>
  <cp:lastModifiedBy>Adeline Gouttenoire</cp:lastModifiedBy>
  <cp:revision>14</cp:revision>
  <dcterms:created xsi:type="dcterms:W3CDTF">2022-09-13T15:25:00Z</dcterms:created>
  <dcterms:modified xsi:type="dcterms:W3CDTF">2022-09-15T13:48:00Z</dcterms:modified>
</cp:coreProperties>
</file>