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9F2F" w14:textId="126C7920" w:rsidR="00971273" w:rsidRPr="00C14C3E" w:rsidRDefault="00C14C3E" w:rsidP="00C14C3E">
      <w:pPr>
        <w:jc w:val="center"/>
        <w:rPr>
          <w:b/>
          <w:bCs/>
          <w:smallCaps/>
          <w:sz w:val="28"/>
          <w:szCs w:val="28"/>
        </w:rPr>
      </w:pPr>
      <w:r w:rsidRPr="00C14C3E">
        <w:rPr>
          <w:b/>
          <w:bCs/>
          <w:smallCaps/>
          <w:sz w:val="28"/>
          <w:szCs w:val="28"/>
        </w:rPr>
        <w:t xml:space="preserve">Travaux dirigés de droit administratif </w:t>
      </w:r>
    </w:p>
    <w:p w14:paraId="666F8ABA" w14:textId="2FECF16A" w:rsidR="00C14C3E" w:rsidRDefault="00C14C3E" w:rsidP="00C14C3E">
      <w:pPr>
        <w:spacing w:line="240" w:lineRule="auto"/>
        <w:jc w:val="center"/>
        <w:rPr>
          <w:sz w:val="24"/>
          <w:szCs w:val="24"/>
        </w:rPr>
      </w:pPr>
      <w:r w:rsidRPr="00C14C3E">
        <w:rPr>
          <w:sz w:val="24"/>
          <w:szCs w:val="24"/>
        </w:rPr>
        <w:t>Séance 7</w:t>
      </w:r>
      <w:r>
        <w:rPr>
          <w:sz w:val="24"/>
          <w:szCs w:val="24"/>
        </w:rPr>
        <w:t> :</w:t>
      </w:r>
    </w:p>
    <w:p w14:paraId="2FF636B1" w14:textId="6AA8B533" w:rsidR="005D5682" w:rsidRPr="00C14C3E" w:rsidRDefault="005D5682" w:rsidP="00C14C3E">
      <w:pPr>
        <w:spacing w:line="240" w:lineRule="auto"/>
        <w:jc w:val="center"/>
        <w:rPr>
          <w:sz w:val="24"/>
          <w:szCs w:val="24"/>
        </w:rPr>
      </w:pPr>
      <w:r>
        <w:rPr>
          <w:sz w:val="24"/>
          <w:szCs w:val="24"/>
        </w:rPr>
        <w:t xml:space="preserve">Dossier documentaire à l’appui de de l’examen blanc </w:t>
      </w:r>
    </w:p>
    <w:p w14:paraId="4498F57F" w14:textId="1513B3FF" w:rsidR="00C14C3E" w:rsidRPr="00C14C3E" w:rsidRDefault="005D5682" w:rsidP="00C14C3E">
      <w:pPr>
        <w:spacing w:line="240" w:lineRule="auto"/>
        <w:jc w:val="center"/>
        <w:rPr>
          <w:b/>
          <w:bCs/>
        </w:rPr>
      </w:pPr>
      <w:r>
        <w:rPr>
          <w:b/>
          <w:bCs/>
        </w:rPr>
        <w:t xml:space="preserve">L’exercice des pouvoirs de police à l’épreuve des lois sécuritaires </w:t>
      </w:r>
    </w:p>
    <w:p w14:paraId="2605C59B" w14:textId="68A511A7" w:rsidR="00C14C3E" w:rsidRDefault="00C14C3E" w:rsidP="00C14C3E">
      <w:bookmarkStart w:id="0" w:name="_GoBack"/>
      <w:bookmarkEnd w:id="0"/>
    </w:p>
    <w:p w14:paraId="5102A47C" w14:textId="73B0DA23" w:rsidR="00EF020B" w:rsidRDefault="00EF020B" w:rsidP="00EF020B">
      <w:pPr>
        <w:pStyle w:val="Paragraphedeliste"/>
        <w:numPr>
          <w:ilvl w:val="0"/>
          <w:numId w:val="3"/>
        </w:numPr>
      </w:pPr>
      <w:r>
        <w:t>Constitution du 4 octobre 1958, article 66</w:t>
      </w:r>
    </w:p>
    <w:p w14:paraId="62AD67ED" w14:textId="0941A38D" w:rsidR="00EF020B" w:rsidRPr="003059AF" w:rsidRDefault="00C517A5" w:rsidP="00EF020B">
      <w:pPr>
        <w:pStyle w:val="Paragraphedeliste"/>
        <w:numPr>
          <w:ilvl w:val="0"/>
          <w:numId w:val="3"/>
        </w:numPr>
      </w:pPr>
      <w:r w:rsidRPr="00C517A5">
        <w:t xml:space="preserve">Conseil constitutionnel, n°76-75 DC, 12 janvier 1977, </w:t>
      </w:r>
      <w:r w:rsidRPr="00C517A5">
        <w:rPr>
          <w:i/>
          <w:iCs/>
        </w:rPr>
        <w:t>Loi autorisant la visite des véhicules en vue de la recherche et de la prévention des infractions pénales</w:t>
      </w:r>
    </w:p>
    <w:p w14:paraId="362C1DFB" w14:textId="41445ED1" w:rsidR="003059AF" w:rsidRPr="00A84ECF" w:rsidRDefault="003059AF" w:rsidP="00EF020B">
      <w:pPr>
        <w:pStyle w:val="Paragraphedeliste"/>
        <w:numPr>
          <w:ilvl w:val="0"/>
          <w:numId w:val="3"/>
        </w:numPr>
      </w:pPr>
      <w:r w:rsidRPr="003059AF">
        <w:t xml:space="preserve">Conseil constitutionnel, n° 2003-467 DC, 3 mars 2003, </w:t>
      </w:r>
      <w:r w:rsidRPr="003059AF">
        <w:rPr>
          <w:i/>
          <w:iCs/>
        </w:rPr>
        <w:t>Loi</w:t>
      </w:r>
      <w:r>
        <w:rPr>
          <w:i/>
          <w:iCs/>
        </w:rPr>
        <w:t xml:space="preserve"> </w:t>
      </w:r>
      <w:r w:rsidRPr="003059AF">
        <w:rPr>
          <w:i/>
          <w:iCs/>
        </w:rPr>
        <w:t>sur la</w:t>
      </w:r>
      <w:r>
        <w:rPr>
          <w:i/>
          <w:iCs/>
        </w:rPr>
        <w:t xml:space="preserve"> </w:t>
      </w:r>
      <w:r w:rsidRPr="003059AF">
        <w:rPr>
          <w:i/>
          <w:iCs/>
        </w:rPr>
        <w:t>sécurité intérieure</w:t>
      </w:r>
    </w:p>
    <w:p w14:paraId="23B2DA38" w14:textId="021ECFD6" w:rsidR="009937CF" w:rsidRDefault="009937CF" w:rsidP="00EF020B">
      <w:pPr>
        <w:pStyle w:val="Paragraphedeliste"/>
        <w:numPr>
          <w:ilvl w:val="0"/>
          <w:numId w:val="3"/>
        </w:numPr>
      </w:pPr>
      <w:r>
        <w:t xml:space="preserve">Conseil constitutionnel, n°2011-625 DC, 10 mars 2011, </w:t>
      </w:r>
      <w:r>
        <w:rPr>
          <w:i/>
          <w:iCs/>
        </w:rPr>
        <w:t>Loi d’orientation et de programmation pour la performance de la sécurité intérieure</w:t>
      </w:r>
    </w:p>
    <w:p w14:paraId="76F64519" w14:textId="2C2F0A82" w:rsidR="00A84ECF" w:rsidRPr="00202760" w:rsidRDefault="00A84ECF" w:rsidP="00EF020B">
      <w:pPr>
        <w:pStyle w:val="Paragraphedeliste"/>
        <w:numPr>
          <w:ilvl w:val="0"/>
          <w:numId w:val="3"/>
        </w:numPr>
      </w:pPr>
      <w:r w:rsidRPr="00A84ECF">
        <w:t xml:space="preserve">Conseil constitutionnel, n° 2012-253 QPC, 8 juin 2012, </w:t>
      </w:r>
      <w:r w:rsidRPr="00A84ECF">
        <w:rPr>
          <w:i/>
          <w:iCs/>
        </w:rPr>
        <w:t>M. Mickaël D.</w:t>
      </w:r>
    </w:p>
    <w:p w14:paraId="3A83596C" w14:textId="6C9CBB43" w:rsidR="00202760" w:rsidRPr="0090042F" w:rsidRDefault="00202760" w:rsidP="00EF020B">
      <w:pPr>
        <w:pStyle w:val="Paragraphedeliste"/>
        <w:numPr>
          <w:ilvl w:val="0"/>
          <w:numId w:val="3"/>
        </w:numPr>
      </w:pPr>
      <w:r>
        <w:t xml:space="preserve">Conseil constitutionnel, n° 2015-527 QPC du 22 décembre 2015, </w:t>
      </w:r>
      <w:r w:rsidR="0090042F">
        <w:rPr>
          <w:i/>
          <w:iCs/>
        </w:rPr>
        <w:t xml:space="preserve">M. Cédric D. </w:t>
      </w:r>
    </w:p>
    <w:p w14:paraId="53C8D846" w14:textId="674CB0E5" w:rsidR="0090042F" w:rsidRDefault="0090042F" w:rsidP="00EF020B">
      <w:pPr>
        <w:pStyle w:val="Paragraphedeliste"/>
        <w:numPr>
          <w:ilvl w:val="0"/>
          <w:numId w:val="3"/>
        </w:numPr>
      </w:pPr>
      <w:r>
        <w:t>« </w:t>
      </w:r>
      <w:r w:rsidRPr="0090042F">
        <w:t>Le premier président de la Cour de cassation s'inquiète du pouvoir croissant du Conseil d'État</w:t>
      </w:r>
      <w:r>
        <w:t> »</w:t>
      </w:r>
      <w:r w:rsidRPr="0090042F">
        <w:t xml:space="preserve">, </w:t>
      </w:r>
      <w:r w:rsidRPr="0090042F">
        <w:rPr>
          <w:i/>
          <w:iCs/>
        </w:rPr>
        <w:t>Le Monde</w:t>
      </w:r>
      <w:r w:rsidRPr="0090042F">
        <w:t>, lundi 21 décembre 2015</w:t>
      </w:r>
    </w:p>
    <w:p w14:paraId="042B1DCF" w14:textId="0E837761" w:rsidR="00DD0627" w:rsidRDefault="00DD0627" w:rsidP="00EF020B">
      <w:pPr>
        <w:pStyle w:val="Paragraphedeliste"/>
        <w:numPr>
          <w:ilvl w:val="0"/>
          <w:numId w:val="3"/>
        </w:numPr>
      </w:pPr>
      <w:r>
        <w:t xml:space="preserve">Conseil constitutionnel, n°2021-817 DC du 20 </w:t>
      </w:r>
      <w:proofErr w:type="gramStart"/>
      <w:r>
        <w:t>mai  2021</w:t>
      </w:r>
      <w:proofErr w:type="gramEnd"/>
      <w:r>
        <w:t>, Loi sur la sécurité globale</w:t>
      </w:r>
    </w:p>
    <w:p w14:paraId="5BC36BCE" w14:textId="77777777" w:rsidR="0045434E" w:rsidRDefault="0045434E" w:rsidP="0045434E">
      <w:pPr>
        <w:pStyle w:val="Paragraphedeliste"/>
      </w:pP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2"/>
      </w:tblGrid>
      <w:tr w:rsidR="00E009AF" w14:paraId="7F06F58C" w14:textId="77777777" w:rsidTr="00C517A5">
        <w:tc>
          <w:tcPr>
            <w:tcW w:w="9062" w:type="dxa"/>
          </w:tcPr>
          <w:p w14:paraId="225539FA" w14:textId="30F94EB1" w:rsidR="00E009AF" w:rsidRPr="00E009AF" w:rsidRDefault="00DD0627" w:rsidP="00C517A5">
            <w:pPr>
              <w:spacing w:before="240"/>
              <w:ind w:left="166"/>
              <w:rPr>
                <w:u w:val="single"/>
              </w:rPr>
            </w:pPr>
            <w:r>
              <w:rPr>
                <w:u w:val="single"/>
              </w:rPr>
              <w:t>Bibliographie</w:t>
            </w:r>
            <w:r w:rsidR="00E009AF" w:rsidRPr="00E009AF">
              <w:rPr>
                <w:u w:val="single"/>
              </w:rPr>
              <w:t xml:space="preserve">: </w:t>
            </w:r>
          </w:p>
          <w:p w14:paraId="5090B52C" w14:textId="5021B60E" w:rsidR="003C61D2" w:rsidRDefault="003C61D2" w:rsidP="00C517A5">
            <w:pPr>
              <w:pStyle w:val="Paragraphedeliste"/>
              <w:numPr>
                <w:ilvl w:val="0"/>
                <w:numId w:val="4"/>
              </w:numPr>
            </w:pPr>
            <w:r>
              <w:t xml:space="preserve">M.-A. Granger, « La distinction police administrative / police judiciaire au sein de la jurisprudence constitutionnelle », </w:t>
            </w:r>
            <w:r>
              <w:rPr>
                <w:i/>
                <w:iCs/>
              </w:rPr>
              <w:t>RSC,</w:t>
            </w:r>
            <w:r>
              <w:t xml:space="preserve"> 2011, p. 789</w:t>
            </w:r>
          </w:p>
          <w:p w14:paraId="006F9005" w14:textId="2812A54D" w:rsidR="00955095" w:rsidRDefault="00955095" w:rsidP="00C517A5">
            <w:pPr>
              <w:pStyle w:val="Paragraphedeliste"/>
              <w:numPr>
                <w:ilvl w:val="0"/>
                <w:numId w:val="4"/>
              </w:numPr>
            </w:pPr>
            <w:r>
              <w:t xml:space="preserve">A. </w:t>
            </w:r>
            <w:proofErr w:type="spellStart"/>
            <w:r>
              <w:t>Roblot-Troizier</w:t>
            </w:r>
            <w:proofErr w:type="spellEnd"/>
            <w:r>
              <w:t xml:space="preserve">, « Assignations à résidence en état d’urgence », </w:t>
            </w:r>
            <w:r>
              <w:rPr>
                <w:i/>
                <w:iCs/>
              </w:rPr>
              <w:t xml:space="preserve">RFDA, </w:t>
            </w:r>
            <w:r>
              <w:t>2016, p. 123</w:t>
            </w:r>
          </w:p>
          <w:p w14:paraId="0D64572C" w14:textId="48C72758" w:rsidR="00E009AF" w:rsidRDefault="00E009AF" w:rsidP="00AE45BC">
            <w:pPr>
              <w:pStyle w:val="Paragraphedeliste"/>
              <w:numPr>
                <w:ilvl w:val="0"/>
                <w:numId w:val="4"/>
              </w:numPr>
            </w:pPr>
            <w:r>
              <w:t xml:space="preserve">B. Faure, « La promotion contrariée des polices municipales », </w:t>
            </w:r>
            <w:r w:rsidRPr="00C517A5">
              <w:rPr>
                <w:i/>
                <w:iCs/>
              </w:rPr>
              <w:t>AJDA</w:t>
            </w:r>
            <w:r w:rsidRPr="00E009AF">
              <w:t>,</w:t>
            </w:r>
            <w:r>
              <w:t xml:space="preserve"> 2021, p. 1490</w:t>
            </w:r>
          </w:p>
          <w:p w14:paraId="1B3D394E" w14:textId="3B31D2C3" w:rsidR="009E37C3" w:rsidRDefault="009E37C3" w:rsidP="00AE45BC">
            <w:pPr>
              <w:pStyle w:val="Paragraphedeliste"/>
              <w:numPr>
                <w:ilvl w:val="0"/>
                <w:numId w:val="4"/>
              </w:numPr>
            </w:pPr>
            <w:r>
              <w:t>D. Bordier, Le maire, autorité de police judiciaire, AJDA 2012, p.189</w:t>
            </w:r>
          </w:p>
          <w:p w14:paraId="20B947DF" w14:textId="126A26EF" w:rsidR="00AE45BC" w:rsidRPr="00AE45BC" w:rsidRDefault="00AE45BC" w:rsidP="00AE45BC">
            <w:pPr>
              <w:pStyle w:val="Paragraphedeliste"/>
              <w:ind w:left="526"/>
              <w:rPr>
                <w:sz w:val="14"/>
                <w:szCs w:val="14"/>
              </w:rPr>
            </w:pPr>
          </w:p>
        </w:tc>
      </w:tr>
    </w:tbl>
    <w:p w14:paraId="24705F77" w14:textId="77777777" w:rsidR="00E009AF" w:rsidRDefault="00E009AF" w:rsidP="00EF020B"/>
    <w:p w14:paraId="0F12CF7C" w14:textId="1845A42A" w:rsidR="00F97B22" w:rsidRDefault="00F97B22">
      <w:pPr>
        <w:spacing w:line="259" w:lineRule="auto"/>
        <w:jc w:val="left"/>
      </w:pPr>
      <w:r>
        <w:br w:type="page"/>
      </w:r>
    </w:p>
    <w:p w14:paraId="711447BB" w14:textId="653C5445" w:rsidR="00E009AF" w:rsidRDefault="00E009AF" w:rsidP="00E009AF"/>
    <w:p w14:paraId="2E16C0A7" w14:textId="17E70EC7" w:rsidR="00C53427" w:rsidRDefault="00C53427" w:rsidP="00C53427">
      <w:pPr>
        <w:pStyle w:val="Titre1"/>
      </w:pPr>
      <w:r>
        <w:t>Constitution du 4 octobre 1958, article 66</w:t>
      </w:r>
    </w:p>
    <w:p w14:paraId="02BFDEDC" w14:textId="77777777" w:rsidR="00E009AF" w:rsidRDefault="00C53427" w:rsidP="00C53427">
      <w:r>
        <w:t xml:space="preserve">Nul ne peut être arbitrairement détenu. </w:t>
      </w:r>
    </w:p>
    <w:p w14:paraId="162E9A6C" w14:textId="10416DC6" w:rsidR="00C53427" w:rsidRDefault="00C53427" w:rsidP="00C53427">
      <w:r>
        <w:t>L'autorité judiciaire, gardienne de la liberté individuelle, assure le respect de ce principe dans les conditions prévues par la loi.</w:t>
      </w:r>
    </w:p>
    <w:p w14:paraId="2CCC0E82" w14:textId="7B75CDA0" w:rsidR="00C517A5" w:rsidRDefault="00C517A5" w:rsidP="00C517A5">
      <w:pPr>
        <w:pStyle w:val="Titre1"/>
      </w:pPr>
      <w:r>
        <w:t xml:space="preserve">Conseil constitutionnel, n°76-75 DC, 12 janvier 1977, </w:t>
      </w:r>
      <w:r w:rsidRPr="00C517A5">
        <w:rPr>
          <w:i/>
          <w:iCs/>
        </w:rPr>
        <w:t>Loi autorisant la visite des véhicules en vue de la recherche et de la prévention des infractions pénales</w:t>
      </w:r>
    </w:p>
    <w:p w14:paraId="2B55691E" w14:textId="77777777" w:rsidR="00C517A5" w:rsidRDefault="00C517A5" w:rsidP="00C517A5"/>
    <w:p w14:paraId="06AE8037" w14:textId="77777777" w:rsidR="00C517A5" w:rsidRDefault="00C517A5" w:rsidP="00C517A5">
      <w:r>
        <w:t>Le Conseil constitutionnel,</w:t>
      </w:r>
    </w:p>
    <w:p w14:paraId="1FC075AA" w14:textId="125E7F94" w:rsidR="00C517A5" w:rsidRDefault="00C517A5" w:rsidP="00C517A5">
      <w:r>
        <w:t>Saisi le 21 décembre 1976 (…) dans les conditions prévues à l'article 61, deuxième alinéa, de la Constitution, du texte de la loi autorisant la visite des véhicules en vue de la recherche et de la prévention des infractions pénales telle qu'elle a été adoptée par le Parlement ;</w:t>
      </w:r>
    </w:p>
    <w:p w14:paraId="724183EA" w14:textId="77777777" w:rsidR="00C517A5" w:rsidRDefault="00C517A5" w:rsidP="00C517A5">
      <w:r>
        <w:t>Vu la Constitution ;</w:t>
      </w:r>
    </w:p>
    <w:p w14:paraId="6C7D4547" w14:textId="77777777" w:rsidR="00C517A5" w:rsidRDefault="00C517A5" w:rsidP="00C517A5">
      <w:r>
        <w:t>Vu l'ordonnance du 7 novembre 1958 portant loi organique sur le Conseil constitutionnel, notamment le chapitre II du titre II de ladite ordonnance ;</w:t>
      </w:r>
    </w:p>
    <w:p w14:paraId="18A0DF52" w14:textId="77777777" w:rsidR="00C517A5" w:rsidRDefault="00C517A5" w:rsidP="00C517A5">
      <w:r>
        <w:t>Ouï le rapporteur en son rapport ;</w:t>
      </w:r>
    </w:p>
    <w:p w14:paraId="2925EEC7" w14:textId="77777777" w:rsidR="00C517A5" w:rsidRDefault="00C517A5" w:rsidP="00C517A5">
      <w:r>
        <w:t>1. Considérant que la liberté individuelle constitue l'un des principes fondamentaux garantis par les lois de la République, et proclamés par le Préambule de la Constitution de 1946, confirmé par le Préambule de la Constitution de 1958 ;</w:t>
      </w:r>
    </w:p>
    <w:p w14:paraId="2B963DB4" w14:textId="77777777" w:rsidR="00C517A5" w:rsidRDefault="00C517A5" w:rsidP="00C517A5">
      <w:r>
        <w:t>2. Considérant que l'article 66 de la Constitution, en réaffirmant ce principe, en confie la garde à l'autorité judiciaire ;</w:t>
      </w:r>
    </w:p>
    <w:p w14:paraId="0848BBD6" w14:textId="77777777" w:rsidR="00C517A5" w:rsidRDefault="00C517A5" w:rsidP="00C517A5">
      <w:r>
        <w:t>3. Considérant que le texte soumis à l'examen du Conseil constitutionnel a pour objet de donner aux officiers de police judiciaire ou, sur ordre de ceux-ci, aux agents de police judiciaire, le pouvoir de procéder à la visite de tout véhicule ou de son contenu aux seules conditions que ce véhicule se trouve sur une voie ouverte à la circulation publique et que cette visite ait lieu en la présence du propriétaire ou du conducteur ;</w:t>
      </w:r>
    </w:p>
    <w:p w14:paraId="554DF635" w14:textId="77777777" w:rsidR="00C517A5" w:rsidRDefault="00C517A5" w:rsidP="00C517A5">
      <w:r>
        <w:t xml:space="preserve">4. Considérant que, sous réserve que soient remplies les deux conditions ci-dessus rappelées, les pouvoirs attribués par cette disposition aux officiers de police judiciaire et aux agents agissant sur l'ordre de ceux-ci pourraient s'exercer, sans restriction, dans tous les cas, en dehors de la mise en vigueur d'un </w:t>
      </w:r>
      <w:r>
        <w:lastRenderedPageBreak/>
        <w:t>régime légal de pouvoirs exceptionnels, alors même qu'aucune infraction n'aura été commise et sans que la loi subordonne ces contrôles à l'existence d'une menace d'atteinte à l'ordre public ;</w:t>
      </w:r>
    </w:p>
    <w:p w14:paraId="1CEA347E" w14:textId="77777777" w:rsidR="00C517A5" w:rsidRDefault="00C517A5" w:rsidP="00C517A5">
      <w:r>
        <w:t>5. Considérant qu'en raison de l'étendue des pouvoirs, dont la nature n'est, par ailleurs, pas définie, conférés aux officiers de police judiciaire et à leurs agents, du caractère très général des cas dans lesquels ces pouvoirs pourraient s'exercer et de l'imprécision de la portée des contrôles auxquels il seraient susceptibles de donner lieu, ce texte porte atteinte aux principes essentiels sur lesquels repose la protection de la liberté individuelle ; que, par suite, il n'est pas conforme à la Constitution ;</w:t>
      </w:r>
    </w:p>
    <w:p w14:paraId="11A8F33F" w14:textId="5AC785A8" w:rsidR="00C517A5" w:rsidRDefault="00C517A5" w:rsidP="00C517A5">
      <w:r>
        <w:t>Décide :</w:t>
      </w:r>
    </w:p>
    <w:p w14:paraId="1988800C" w14:textId="1493F2E8" w:rsidR="00C517A5" w:rsidRDefault="003059AF" w:rsidP="00C517A5">
      <w:r>
        <w:t xml:space="preserve"> </w:t>
      </w:r>
      <w:r w:rsidR="00C517A5">
        <w:t>Article premier :</w:t>
      </w:r>
    </w:p>
    <w:p w14:paraId="24A4FCC4" w14:textId="789FCD3B" w:rsidR="00C517A5" w:rsidRDefault="003059AF" w:rsidP="00C517A5">
      <w:r>
        <w:t xml:space="preserve"> </w:t>
      </w:r>
      <w:r w:rsidR="00C517A5">
        <w:t>Sont déclarées non conformes à la Constitution les dispositions de l'article unique de la loi autorisant la visite des véhicules en vue de la recherche et de la prévention des infractions pénales.</w:t>
      </w:r>
    </w:p>
    <w:p w14:paraId="6881ABB7" w14:textId="4F9EF3B1" w:rsidR="00C517A5" w:rsidRDefault="003059AF" w:rsidP="00C517A5">
      <w:r>
        <w:t xml:space="preserve"> </w:t>
      </w:r>
      <w:r w:rsidR="00C517A5">
        <w:t>Article 2 :</w:t>
      </w:r>
    </w:p>
    <w:p w14:paraId="391D0046" w14:textId="78F99716" w:rsidR="00C517A5" w:rsidRPr="00A43813" w:rsidRDefault="003059AF" w:rsidP="00C53427">
      <w:r>
        <w:t xml:space="preserve"> </w:t>
      </w:r>
      <w:r w:rsidR="00C517A5">
        <w:t>La présente décision sera publiée au Journal officiel de la République française.</w:t>
      </w:r>
    </w:p>
    <w:p w14:paraId="532C0F3C" w14:textId="40ABFC6D" w:rsidR="00F97B22" w:rsidRDefault="003059AF" w:rsidP="003059AF">
      <w:pPr>
        <w:pStyle w:val="Titre1"/>
      </w:pPr>
      <w:r>
        <w:t xml:space="preserve">Conseil constitutionnel, n° 2003-467 DC, 3 mars 2003, </w:t>
      </w:r>
      <w:r w:rsidRPr="003059AF">
        <w:rPr>
          <w:i/>
          <w:iCs/>
        </w:rPr>
        <w:t>Loi</w:t>
      </w:r>
      <w:r>
        <w:rPr>
          <w:i/>
          <w:iCs/>
        </w:rPr>
        <w:t xml:space="preserve"> </w:t>
      </w:r>
      <w:r w:rsidRPr="003059AF">
        <w:rPr>
          <w:i/>
          <w:iCs/>
        </w:rPr>
        <w:t>sur la</w:t>
      </w:r>
      <w:r>
        <w:rPr>
          <w:i/>
          <w:iCs/>
        </w:rPr>
        <w:t xml:space="preserve"> </w:t>
      </w:r>
      <w:r w:rsidRPr="003059AF">
        <w:rPr>
          <w:i/>
          <w:iCs/>
        </w:rPr>
        <w:t>sécurité intérieure</w:t>
      </w:r>
    </w:p>
    <w:p w14:paraId="5A7B94D1" w14:textId="72E3650A" w:rsidR="003059AF" w:rsidRDefault="003059AF" w:rsidP="003059AF">
      <w:r>
        <w:t>Le Conseil constitutionnel a été saisi, dans les conditions prévues à l'article 61, deuxième alinéa, de la Constitution, de la loi pour la sécurité intérieure (…)</w:t>
      </w:r>
    </w:p>
    <w:p w14:paraId="4B645FEC" w14:textId="77777777" w:rsidR="003059AF" w:rsidRDefault="003059AF" w:rsidP="003059AF">
      <w:r>
        <w:t>LE CONSEIL CONSTITUTIONNEL,</w:t>
      </w:r>
    </w:p>
    <w:p w14:paraId="305317B9" w14:textId="6136DB37" w:rsidR="003059AF" w:rsidRDefault="003059AF" w:rsidP="003059AF">
      <w:r>
        <w:t>(…)</w:t>
      </w:r>
    </w:p>
    <w:p w14:paraId="70F5B29B" w14:textId="77777777" w:rsidR="003059AF" w:rsidRDefault="003059AF" w:rsidP="003059AF">
      <w:r>
        <w:t>Le rapporteur ayant été entendu ;</w:t>
      </w:r>
    </w:p>
    <w:p w14:paraId="3A1E9403" w14:textId="77777777" w:rsidR="003059AF" w:rsidRDefault="003059AF" w:rsidP="003059AF">
      <w:r>
        <w:t>1. Considérant que les auteurs des deux saisines défèrent au Conseil constitutionnel la loi pour la sécurité intérieure ; qu'ils contestent notamment la conformité à la Constitution de ses articles 3, 11, 12, 13, 21, 25, 28, 30, 50, 51, 53, 64, 65, 75, 76, 96, 113, 122, 123, 141 et 142 ;</w:t>
      </w:r>
    </w:p>
    <w:p w14:paraId="07D5C02F" w14:textId="6B58C025" w:rsidR="003059AF" w:rsidRDefault="00A84ECF" w:rsidP="003059AF">
      <w:r>
        <w:t>(…)</w:t>
      </w:r>
    </w:p>
    <w:p w14:paraId="6A0C1734" w14:textId="77777777" w:rsidR="003059AF" w:rsidRDefault="003059AF" w:rsidP="003059AF">
      <w:r>
        <w:t>- Quant à l'article 13 :</w:t>
      </w:r>
    </w:p>
    <w:p w14:paraId="601125B6" w14:textId="77777777" w:rsidR="003059AF" w:rsidRDefault="003059AF" w:rsidP="003059AF">
      <w:r>
        <w:t xml:space="preserve">15. Considérant que l'article 13 de la loi déférée insère dans le code procédure pénale un article 78-2-4 ainsi rédigé : « Pour prévenir une atteinte grave à la sécurité des personnes et des biens, les officiers de police judiciaire et, sur l'ordre et sous la responsabilité de ceux-ci, les agents de police judiciaire et les agents de police judiciaire adjoints mentionnés aux 1 °, 1 ° bis, 1 ° ter de l'article 21 peuvent procéder non seulement aux contrôles d'identité prévus au septième alinéa de l'article 78-2 mais aussi, avec l'accord du conducteur ou, à défaut, sur instructions du procureur de la République communiquées par </w:t>
      </w:r>
      <w:r>
        <w:lastRenderedPageBreak/>
        <w:t>tous moyens, à la visite des véhicules circulant, arrêtés ou stationnant sur la voie publique ou dans des lieux accessibles au public. - Dans l'attente des instructions du procureur de la République, le véhicule peut être immobilisé pour une durée qui ne peut excéder trente minutes. - Les deuxième, troisième et quatrième alinéas de l'article 78-2-2 sont applicables aux dispositions du présent article » ;</w:t>
      </w:r>
    </w:p>
    <w:p w14:paraId="1E76550F" w14:textId="2B1F082A" w:rsidR="003059AF" w:rsidRDefault="003059AF" w:rsidP="003059AF">
      <w:r>
        <w:t>16. Considérant, s'agissant des visites de véhicules réalisées dans le cadre de la police administrative, que ces dispositions satisfont aux exigences constitutionnelles rappelées ci-dessus en raison de la condition à laquelle elles subordonnent ces visites ; qu'elles ne méconnaissent pas l'article 66 de la Constitution ; qu'elles sont formulées en termes assez clairs et précis pour respecter la mission confiée au législateur par l'article 34 de celle-ci ;</w:t>
      </w:r>
    </w:p>
    <w:p w14:paraId="6088FAD0" w14:textId="0A98A4AD" w:rsidR="00A84ECF" w:rsidRDefault="00A84ECF" w:rsidP="003059AF">
      <w:r>
        <w:t>(…)</w:t>
      </w:r>
    </w:p>
    <w:p w14:paraId="1C8F898C" w14:textId="4313EDD9" w:rsidR="003059AF" w:rsidRDefault="003059AF" w:rsidP="003059AF">
      <w:r>
        <w:t xml:space="preserve"> Décide :</w:t>
      </w:r>
    </w:p>
    <w:p w14:paraId="499C7309" w14:textId="68EF01C5" w:rsidR="003059AF" w:rsidRDefault="003059AF" w:rsidP="003059AF">
      <w:r>
        <w:t xml:space="preserve"> Article premier :</w:t>
      </w:r>
    </w:p>
    <w:p w14:paraId="11F5FC6F" w14:textId="5ABD6AEB" w:rsidR="003059AF" w:rsidRDefault="003059AF" w:rsidP="003059AF">
      <w:r>
        <w:t xml:space="preserve"> Ne sont pas contraires à la Constitution, sous les réserves énoncées aux considérants 26, 34, 35, 38, 43, 57, 63, 73, 77, 84, 85, 86 et 104, les dispositions de la loi pour la sécurité intérieure critiquées par l'une ou l'autre saisine.</w:t>
      </w:r>
    </w:p>
    <w:p w14:paraId="0B076B79" w14:textId="4975D704" w:rsidR="003059AF" w:rsidRDefault="003059AF" w:rsidP="003059AF">
      <w:r>
        <w:t xml:space="preserve"> Article 2 :</w:t>
      </w:r>
    </w:p>
    <w:p w14:paraId="0500A09B" w14:textId="46D045F3" w:rsidR="003059AF" w:rsidRDefault="003059AF" w:rsidP="003059AF">
      <w:r>
        <w:t xml:space="preserve"> La présente décision sera publiée au Journal officiel de la République française.</w:t>
      </w:r>
    </w:p>
    <w:p w14:paraId="76AC0FC5" w14:textId="34B92DF3" w:rsidR="009937CF" w:rsidRDefault="009937CF" w:rsidP="009937CF">
      <w:pPr>
        <w:pStyle w:val="Titre1"/>
        <w:rPr>
          <w:i/>
          <w:iCs/>
        </w:rPr>
      </w:pPr>
      <w:r>
        <w:t xml:space="preserve">Conseil constitutionnel, n°2011-625 DC, 10 mars 2011, </w:t>
      </w:r>
      <w:r w:rsidRPr="009937CF">
        <w:rPr>
          <w:i/>
          <w:iCs/>
        </w:rPr>
        <w:t>Loi d’orientation et de programmation pour la performance de la sécurité intérieure</w:t>
      </w:r>
    </w:p>
    <w:p w14:paraId="4AE821BA" w14:textId="312CF253" w:rsidR="009937CF" w:rsidRDefault="009937CF" w:rsidP="009937CF">
      <w:r>
        <w:t>Le Conseil constitutionnel a été saisi, dans les conditions prévues à l'article 61, deuxième alinéa, de la Constitution, de la loi d'orientation et de programmation pour la performance de la sécurité intérieure, le 15 février 2011 (…)</w:t>
      </w:r>
    </w:p>
    <w:p w14:paraId="4662C1CC" w14:textId="77777777" w:rsidR="009937CF" w:rsidRDefault="009937CF" w:rsidP="009937CF">
      <w:r>
        <w:t>LE CONSEIL CONSTITUTIONNEL,</w:t>
      </w:r>
    </w:p>
    <w:p w14:paraId="719ADEE9" w14:textId="0C7BC0C8" w:rsidR="009937CF" w:rsidRDefault="009937CF" w:rsidP="009937CF">
      <w:r>
        <w:t>(…)</w:t>
      </w:r>
    </w:p>
    <w:p w14:paraId="6F88D5F2" w14:textId="77777777" w:rsidR="009937CF" w:rsidRDefault="009937CF" w:rsidP="009937CF">
      <w:r>
        <w:t>1. Considérant que les députés et sénateurs requérants défèrent au Conseil constitutionnel la loi d'orientation et de programmation pour la performance de la sécurité intérieure ; qu'ils contestent ses articles 1er, 4, 11, 18, 37, 38, 41, 43, 53, 58, 60, 61, 90, 92 et 101 ;</w:t>
      </w:r>
    </w:p>
    <w:p w14:paraId="1E97804E" w14:textId="6E4CD021" w:rsidR="009937CF" w:rsidRDefault="009937CF" w:rsidP="009937CF">
      <w:r>
        <w:t>(…)</w:t>
      </w:r>
    </w:p>
    <w:p w14:paraId="23B23CDD" w14:textId="77777777" w:rsidR="009937CF" w:rsidRDefault="009937CF" w:rsidP="009937CF">
      <w:r>
        <w:t>- SUR L'ARTICLE 18 :</w:t>
      </w:r>
    </w:p>
    <w:p w14:paraId="2B343AF1" w14:textId="77777777" w:rsidR="009937CF" w:rsidRDefault="009937CF" w:rsidP="009937CF">
      <w:r>
        <w:lastRenderedPageBreak/>
        <w:t xml:space="preserve">14. Considérant que l'article 18 modifie l'article 10 de la loi du 21 janvier 1995 susvisée relatif à la </w:t>
      </w:r>
      <w:proofErr w:type="spellStart"/>
      <w:r>
        <w:t>vidéoprotection</w:t>
      </w:r>
      <w:proofErr w:type="spellEnd"/>
      <w:r>
        <w:t xml:space="preserve"> ; qu'il complète la liste des cas dans lesquels un tel dispositif peut être mis en </w:t>
      </w:r>
      <w:proofErr w:type="spellStart"/>
      <w:r>
        <w:t>oeuvre</w:t>
      </w:r>
      <w:proofErr w:type="spellEnd"/>
      <w:r>
        <w:t xml:space="preserve"> sur la voie publique par les autorités publiques compétentes ; qu'il renforce les pouvoirs de contrôle des commissions départementales de </w:t>
      </w:r>
      <w:proofErr w:type="spellStart"/>
      <w:r>
        <w:t>vidéoprotection</w:t>
      </w:r>
      <w:proofErr w:type="spellEnd"/>
      <w:r>
        <w:t xml:space="preserve"> et de la Commission nationale de l'informatique et des libertés et permet en certains cas la consultation de la « commission nationale de la </w:t>
      </w:r>
      <w:proofErr w:type="spellStart"/>
      <w:r>
        <w:t>vidéoprotection</w:t>
      </w:r>
      <w:proofErr w:type="spellEnd"/>
      <w:r>
        <w:t xml:space="preserve"> » ;</w:t>
      </w:r>
    </w:p>
    <w:p w14:paraId="7EF62EEE" w14:textId="77777777" w:rsidR="009937CF" w:rsidRDefault="009937CF" w:rsidP="009937CF">
      <w:r>
        <w:t xml:space="preserve">15. Considérant que le onzième alinéa du paragraphe II de cet article 10, tel que résultant du 1 ° de l'article 18 de la loi déférée, assouplit le régime encadrant la mise en </w:t>
      </w:r>
      <w:proofErr w:type="spellStart"/>
      <w:r>
        <w:t>oeuvre</w:t>
      </w:r>
      <w:proofErr w:type="spellEnd"/>
      <w:r>
        <w:t xml:space="preserve"> de dispositifs de vidéosurveillance par des personnes morales de droit privé ; qu'il prévoit : « Après information du maire de la commune concernée, les autres personnes morales peuvent mettre en </w:t>
      </w:r>
      <w:proofErr w:type="spellStart"/>
      <w:r>
        <w:t>oeuvre</w:t>
      </w:r>
      <w:proofErr w:type="spellEnd"/>
      <w:r>
        <w:t xml:space="preserve"> sur la voie publique un système de </w:t>
      </w:r>
      <w:proofErr w:type="spellStart"/>
      <w:r>
        <w:t>vidéoprotection</w:t>
      </w:r>
      <w:proofErr w:type="spellEnd"/>
      <w:r>
        <w:t xml:space="preserve"> aux fins d'assurer la protection des abords de leurs bâtiments et installations, dans les lieux susceptibles d'être exposés à des actes de terrorisme ou particulièrement exposés à des risques d'agression ou de vol » ;</w:t>
      </w:r>
    </w:p>
    <w:p w14:paraId="7769DED4" w14:textId="77777777" w:rsidR="009937CF" w:rsidRDefault="009937CF" w:rsidP="009937CF">
      <w:r>
        <w:t xml:space="preserve">16. Considérant que les b) et c) du 2 ° de l'article 18 permettent de déléguer à des personnes privées l'exploitation et le visionnage de la vidéosurveillance de la voie publique ; que la dernière phrase du deuxième alinéa du paragraphe III de l'article 10 de la loi du 21 janvier 1995 ainsi modifié dispose : « Le visionnage des images peut être assuré par les agents de l'autorité publique ou les salariés de la personne morale titulaire de l'autorisation ou par ceux des opérateurs publics ou privés agissants pour leur compte en vertu d'une convention » ; qu'aux termes des troisième et quatrième alinéas de ce même paragraphe III : « Lorsqu'une autorité publique ou une personne morale n'exploite pas elle-même son système de </w:t>
      </w:r>
      <w:proofErr w:type="spellStart"/>
      <w:r>
        <w:t>vidéoprotection</w:t>
      </w:r>
      <w:proofErr w:type="spellEnd"/>
      <w:r>
        <w:t xml:space="preserve"> de voie publique, la convention qu'elle passe avec un opérateur public ou privé est agréée par le représentant de l'État dans le département et, à Paris, par le préfet de police, après information du maire de la commune concernée, et conforme à une convention-type fixée par voie réglementaire après avis de la commission nationale prévue à l'article 10-2. Par ailleurs, les salariés de l'opérateur privé chargés de l'exploitation du système sont soumis aux dispositions du titre Ier de la loi n° 83-629 du 12 juillet 1983 réglementant les activités privées de sécurité, à l'exception de ses articles 3 à 3-2 et 10, et sont tenus au secret professionnel.</w:t>
      </w:r>
    </w:p>
    <w:p w14:paraId="33965D82" w14:textId="77777777" w:rsidR="009937CF" w:rsidRDefault="009937CF" w:rsidP="009937CF">
      <w:r>
        <w:t>« Lorsqu'une autorité publique n'exploite pas elle-même le système, les salariés de la personne privée qui y procèdent sous son contrôle et pour son compte ne peuvent pas avoir accès aux enregistrements des images prises sur la voie publique » ;</w:t>
      </w:r>
    </w:p>
    <w:p w14:paraId="268961DA" w14:textId="77777777" w:rsidR="009937CF" w:rsidRDefault="009937CF" w:rsidP="009937CF">
      <w:r>
        <w:t>17. Considérant que, selon les requérants, en autorisant des personnes privées à procéder à une surveillance de la voie publique, ces dispositions constituent une délégation à ces personnes de tâches inhérentes à l'exercice par l'État de ses missions de souveraineté et méconnaissent les exigences constitutionnelles liées à la protection de la liberté individuelle et de la vie privée ;</w:t>
      </w:r>
    </w:p>
    <w:p w14:paraId="494B6AE4" w14:textId="77777777" w:rsidR="009937CF" w:rsidRDefault="009937CF" w:rsidP="009937CF">
      <w:r>
        <w:lastRenderedPageBreak/>
        <w:t>18. Considérant qu'aux termes de l'article 12 de la Déclaration de 1789 : « La garantie des droits de l'homme et du citoyen nécessite une force publique : cette force est donc instituée pour l'avantage de tous, et non pour l'utilité particulière de ceux auxquels elle est confiée » ;</w:t>
      </w:r>
    </w:p>
    <w:p w14:paraId="44E3A473" w14:textId="77777777" w:rsidR="009937CF" w:rsidRDefault="009937CF" w:rsidP="009937CF">
      <w:r>
        <w:t xml:space="preserve">19. Considérant qu'en autorisant toute personne morale à mettre en </w:t>
      </w:r>
      <w:proofErr w:type="spellStart"/>
      <w:r>
        <w:t>oeuvre</w:t>
      </w:r>
      <w:proofErr w:type="spellEnd"/>
      <w:r>
        <w:t xml:space="preserve"> des dispositifs de surveillance au-delà des abords « immédiats » de ses bâtiments et installations et en confiant à des opérateurs privés le soin d'exploiter des systèmes de </w:t>
      </w:r>
      <w:proofErr w:type="spellStart"/>
      <w:r>
        <w:t>vidéoprotection</w:t>
      </w:r>
      <w:proofErr w:type="spellEnd"/>
      <w:r>
        <w:t xml:space="preserve"> sur la voie publique et de visionner les images pour le compte de personnes publiques, les dispositions contestées permettent d'investir des personnes privées de missions de surveillance générale de la voie publique ; que chacune de ces dispositions rend ainsi possible la délégation à une personne privée des compétences de police administrative générale inhérentes à l'exercice de la « force publique » nécessaire à la garantie des droits ; que, par suite, doivent être déclarés contraires à la Constitution le douzième alinéa du 1 ° ainsi que les b) et c) du 2 ° de l'article 18 ; que, par voie de conséquence, le premier alinéa du 1 ° de l'article 18 de la loi déférée doit conduire à remplacer le seul premier alinéa du II de l'article 10 de la loi du 21 janvier 1995 par les dix alinéas prévus par ce 1 ° ;</w:t>
      </w:r>
    </w:p>
    <w:p w14:paraId="75F85B40" w14:textId="41CAB690" w:rsidR="009937CF" w:rsidRDefault="009937CF" w:rsidP="009937CF">
      <w:r>
        <w:t>(…)</w:t>
      </w:r>
    </w:p>
    <w:p w14:paraId="615CCB08" w14:textId="4CD6EC18" w:rsidR="009937CF" w:rsidRDefault="009937CF" w:rsidP="009937CF">
      <w:r>
        <w:t>- SUR LES ARTICLES 60 ET 61 :</w:t>
      </w:r>
    </w:p>
    <w:p w14:paraId="715E06AC" w14:textId="4B27B1A5" w:rsidR="009937CF" w:rsidRDefault="009937CF" w:rsidP="009937CF">
      <w:r>
        <w:t>48. Considérant que, d'une part, l'article 60 de la loi déférée insère dans le code du sport un article L. 332-16-1 ; qu'il permet au ministre de l'intérieur d'« interdire le déplacement individuel ou collectif de personnes se prévalant de la qualité de supporter d'une équipe ou se comportant comme tel sur les lieux d'une manifestation sportive et dont la présence est susceptible d'occasionner des troubles graves pour l'ordre public » ; que, d'autre part, son article 61 insère dans le même code un article L. 332-16-2 ; qu'il autorise les préfets de département à « restreindre la liberté d'aller et de venir des personnes se prévalant de la qualité de supporter d'une équipe ou se comportant comme tel sur les lieux d'une manifestation sportive et dont la présence est susceptible d'occasionner des troubles graves pour l'ordre public » ; que ces mêmes articles disposent que l'arrêté du ministre ou du préfet énonce la durée de la mesure, les circonstances précises de fait qui la motivent, ainsi que son champ territorial ; qu'ils prévoient des peines d'emprisonnement, d'amende et d'interdiction judiciaire de stade en cas d'infraction à ces arrêtés ;</w:t>
      </w:r>
    </w:p>
    <w:p w14:paraId="3F32E5DA" w14:textId="77777777" w:rsidR="009937CF" w:rsidRDefault="009937CF" w:rsidP="009937CF">
      <w:r>
        <w:t>49. Considérant que les requérants font grief aux dispositions en cause de porter atteinte à la liberté d'aller et venir et de ne pas suffisamment encadrer les pouvoirs de police administrative conférés au ministre de l'intérieur et aux préfets ;</w:t>
      </w:r>
    </w:p>
    <w:p w14:paraId="48599495" w14:textId="77777777" w:rsidR="009937CF" w:rsidRDefault="009937CF" w:rsidP="009937CF">
      <w:r>
        <w:t xml:space="preserve">50. Considérant que les dispositions contestées renforcent les pouvoirs de police administrative en cas de grands rassemblements de personnes, à l'occasion d'une manifestation sportive, qui sont susceptibles d'entraîner des troubles graves pour l'ordre public ; qu'il appartient à l'autorité administrative, sous le contrôle du juge, de définir, à partir de critères objectifs et avec précision, les personnes ou catégories </w:t>
      </w:r>
      <w:r>
        <w:lastRenderedPageBreak/>
        <w:t>de personnes faisant l'objet des mesures de restriction de déplacement ; que ces mesures doivent être justifiées par la nécessité de sauvegarder l'ordre public et ne pas porter une atteinte disproportionnée à la liberté d'aller et venir ; qu'elles peuvent être contestées par les intéressés devant le juge administratif, notamment dans le cadre d'un référé-liberté ; qu'eu égard aux objectifs que s'est assignés le législateur et à l'ensemble des garanties qu'il a prévues, les dispositions contestées sont propres à assurer, entre le respect de la liberté d'aller et venir et la sauvegarde de l'ordre public, une conciliation qui n'est pas manifestement déséquilibrée ;</w:t>
      </w:r>
    </w:p>
    <w:p w14:paraId="484B9A36" w14:textId="2E5818FB" w:rsidR="009937CF" w:rsidRDefault="003262A3" w:rsidP="009937CF">
      <w:r>
        <w:t>(…)</w:t>
      </w:r>
    </w:p>
    <w:p w14:paraId="1767D6CC" w14:textId="77777777" w:rsidR="009937CF" w:rsidRDefault="009937CF" w:rsidP="009937CF">
      <w:r>
        <w:t>- SUR L'ARTICLE 92 :</w:t>
      </w:r>
    </w:p>
    <w:p w14:paraId="3CF6229E" w14:textId="6C2C36CC" w:rsidR="009937CF" w:rsidRDefault="009937CF" w:rsidP="009937CF">
      <w:r>
        <w:t>57. Considérant que l'article 92 de la loi déférée remplace, au premier alinéa de l'article 78-2 du code de procédure pénale, la référence : « 21-1 ° » par la référence : « 21 » ; qu'il a pour objet d'ajouter à la liste des personnes autorisées à opérer des contrôles d'identité l'intégralité des agents de police judiciaire adjoints et, en particulier, les agents de police municipale alors que les seuls agents de police judiciaire adjoints qui peuvent actuellement y procéder dans les strictes conditions fixées par l'article 78-2 sont les fonctionnaires des services actifs de police nationale ne remplissant pas les conditions pour être agents de police judiciaire ;</w:t>
      </w:r>
    </w:p>
    <w:p w14:paraId="499AE6DB" w14:textId="77777777" w:rsidR="009937CF" w:rsidRDefault="009937CF" w:rsidP="009937CF">
      <w:r>
        <w:t>58. Considérant que les requérants estiment que l'extension à l'ensemble des agents de police judiciaire adjoints de la possibilité de procéder à des contrôles d'identité n'offre pas de garanties suffisantes contre des atteintes arbitraires à la liberté individuelle ;</w:t>
      </w:r>
    </w:p>
    <w:p w14:paraId="04DD7492" w14:textId="77777777" w:rsidR="009937CF" w:rsidRDefault="009937CF" w:rsidP="009937CF">
      <w:r>
        <w:t xml:space="preserve">59. Considérant qu'il résulte de l'article 66 de la Constitution que la police judiciaire doit être placée sous la direction et le contrôle de l'autorité judiciaire ; qu'à cette fin, le code de procédure pénale, notamment en ses articles 16 à 19-1, assure le contrôle direct et effectif de l'autorité judiciaire sur les officiers de police judiciaire chargés d'exercer les pouvoirs d'enquête judiciaire et de mettre en </w:t>
      </w:r>
      <w:proofErr w:type="spellStart"/>
      <w:r>
        <w:t>oeuvre</w:t>
      </w:r>
      <w:proofErr w:type="spellEnd"/>
      <w:r>
        <w:t xml:space="preserve"> les mesures de contrainte nécessaires à leur réalisation ; que l'article 20 du code de procédure pénale fixe la liste des agents de police judiciaire chargés « de seconder, dans l'exercice de leurs fonctions, les officiers de police judiciaire ; de constater les crimes, délits ou contraventions et d'en dresser procès-verbal ; de recevoir par procès-verbal les déclarations qui leur sont faites par toutes personnes susceptibles de leur fournir des indices, preuves et renseignements sur les auteurs et complices de ces infractions » ; que l'exigence de direction et de contrôle de l'autorité judiciaire sur la police judiciaire ne serait pas respectée si des pouvoirs généraux d'enquête criminelle ou délictuelle étaient confiés à des agents qui, relevant des autorités communales, ne sont pas mis à la disposition des officiers de police judiciaire ;</w:t>
      </w:r>
    </w:p>
    <w:p w14:paraId="77A4D52C" w14:textId="4B101778" w:rsidR="009937CF" w:rsidRDefault="009937CF" w:rsidP="009937CF">
      <w:r>
        <w:t xml:space="preserve">60. Considérant que l'article 78-2 du code de procédure pénale prévoit les cas dans lesquels les officiers de police judiciaire, les agents de police judiciaire et les fonctionnaires des services actifs de police </w:t>
      </w:r>
      <w:r>
        <w:lastRenderedPageBreak/>
        <w:t>nationale ne remplissant pas les conditions prévues pour être agents de police judiciaire peuvent procéder à des contrôles et des vérifications d'identité dans le cadre de leur mission de police judiciaire ou sur réquisition écrite du procureur de la République ; qu'en confiant également ce pouvoir aux agents de police municipale, qui, relevant des autorités communales, ne sont pas mis à la disposition des officiers de police judiciaire, l'article 92 méconnaît l'article 66 de la Constitution ; que, par suite, il doit être déclaré contraire à la Constitution ;</w:t>
      </w:r>
    </w:p>
    <w:p w14:paraId="4361324E" w14:textId="266778D7" w:rsidR="003262A3" w:rsidRDefault="003262A3" w:rsidP="009937CF">
      <w:r>
        <w:t>(…)</w:t>
      </w:r>
    </w:p>
    <w:p w14:paraId="5745F9EE" w14:textId="77777777" w:rsidR="009937CF" w:rsidRDefault="009937CF" w:rsidP="009937CF">
      <w:r>
        <w:t xml:space="preserve">    D É C I D E :</w:t>
      </w:r>
    </w:p>
    <w:p w14:paraId="28D025B6" w14:textId="77777777" w:rsidR="009937CF" w:rsidRDefault="009937CF" w:rsidP="009937CF">
      <w:r>
        <w:t xml:space="preserve">    Article 1</w:t>
      </w:r>
      <w:proofErr w:type="gramStart"/>
      <w:r>
        <w:t>er.-</w:t>
      </w:r>
      <w:proofErr w:type="gramEnd"/>
      <w:r>
        <w:t xml:space="preserve"> Sont déclarées contraires à la Constitution les dispositions suivantes de la loi d'orientation et de programmation pour la performance de la sécurité intérieure :</w:t>
      </w:r>
    </w:p>
    <w:p w14:paraId="21A2D03C" w14:textId="555F2538" w:rsidR="009937CF" w:rsidRDefault="003262A3" w:rsidP="009937CF">
      <w:r>
        <w:t xml:space="preserve">(…) </w:t>
      </w:r>
      <w:r w:rsidR="009937CF">
        <w:t>le douzième alinéa du 1 ° et les b) et c) du 2 ° de l'article 18</w:t>
      </w:r>
      <w:r>
        <w:t> ; (…)</w:t>
      </w:r>
      <w:r w:rsidR="009937CF">
        <w:t xml:space="preserve"> les articles 53, 90, 91, 92 et 101 </w:t>
      </w:r>
      <w:r>
        <w:t>(…)</w:t>
      </w:r>
    </w:p>
    <w:p w14:paraId="694A945B" w14:textId="1C309076" w:rsidR="009937CF" w:rsidRDefault="009937CF" w:rsidP="009937CF">
      <w:r>
        <w:t xml:space="preserve">    Article 2.- Sont déclarées conformes à la Constitution les dispositions suivantes de la même loi </w:t>
      </w:r>
      <w:r w:rsidR="003262A3">
        <w:t xml:space="preserve">(…) </w:t>
      </w:r>
      <w:r>
        <w:t>les articles 58, 60 et 61.</w:t>
      </w:r>
    </w:p>
    <w:p w14:paraId="6672C065" w14:textId="0E22C933" w:rsidR="009937CF" w:rsidRDefault="009937CF" w:rsidP="009937CF">
      <w:r>
        <w:t xml:space="preserve">    Article 3.- La présente décision sera publiée au Journal officiel de la République française.</w:t>
      </w:r>
    </w:p>
    <w:p w14:paraId="1174D699" w14:textId="7317E4A9" w:rsidR="00A84ECF" w:rsidRDefault="00A84ECF" w:rsidP="00A84ECF">
      <w:pPr>
        <w:pStyle w:val="Titre1"/>
      </w:pPr>
      <w:r>
        <w:t>Conseil constitutionnel, n° 2012-253 QPC, 8 juin 2012, M. Mickaël D.</w:t>
      </w:r>
    </w:p>
    <w:p w14:paraId="6E29195F" w14:textId="77777777" w:rsidR="00A84ECF" w:rsidRDefault="00A84ECF" w:rsidP="00A84ECF">
      <w:r>
        <w:t>Le Conseil constitutionnel a été saisi le 30 mars 2012 par la Cour de cassation, dans les conditions prévues par l'article 61-1 de la Constitution, d'une question prioritaire de constitutionnalité posée par M. Mickaël D. Cette question était relative à la conformité aux droits et libertés que la Constitution garantit de l'article L. 3341-1 du code de la santé publique (CSP).</w:t>
      </w:r>
    </w:p>
    <w:p w14:paraId="7958C620" w14:textId="77777777" w:rsidR="00A84ECF" w:rsidRDefault="00A84ECF" w:rsidP="00A84ECF">
      <w:r>
        <w:t>En application de l'article L. 3341-1 du CSP, une personne trouvée en état d'ivresse dans les lieux publics est, par mesure de police, conduite dans le local de police ou de gendarmerie le plus voisin ou dans une chambre de sûreté, pour y être retenue jusqu'à ce qu'elle ait recouvré la raison. Le Conseil constitutionnel a jugé, sous une réserve, cet article L. 3341-1 du CSP conforme à la Constitution.</w:t>
      </w:r>
    </w:p>
    <w:p w14:paraId="1CDB0C0B" w14:textId="77777777" w:rsidR="00A84ECF" w:rsidRDefault="00A84ECF" w:rsidP="00A84ECF">
      <w:r>
        <w:t xml:space="preserve">D'une part, le Conseil constitutionnel a relevé que la conduite et le placement dans un local de police ou de gendarmerie ou dans une chambre de sûreté sont des mesures relevant de la police administrative dont l'objet est de prévenir les atteintes à l'ordre public et de protéger la personne dont il s'agit. Ces dispositions permettent aux agents de la police et de la gendarmerie nationales, d'opérer un tel placement après avoir constaté par eux-mêmes l'état d'ivresse qui est un fait matériel se manifestant dans le comportement de la personne. Par ailleurs la privation de liberté ne peut se poursuivre après que la personne a recouvré la raison et ne peut donc durer que quelques heures au maximum. Par suite, le Conseil constitutionnel a jugé que ces dispositions ne méconnaissent pas l'exigence selon laquelle toute </w:t>
      </w:r>
      <w:r>
        <w:lastRenderedPageBreak/>
        <w:t>privation de liberté doit être nécessaire, adaptée et proportionnée aux objectifs de préservation de l'ordre public et de protection de la santé poursuivis par le législateur.</w:t>
      </w:r>
    </w:p>
    <w:p w14:paraId="3F185484" w14:textId="76B37A3F" w:rsidR="00A84ECF" w:rsidRDefault="00A84ECF" w:rsidP="00A84ECF">
      <w:r>
        <w:t>D'autre part, eu égard à la brièveté de cette privation de liberté, l'absence d'intervention de l'autorité judiciaire ne méconnaît pas les exigences de l'article 66 de la Constitution. Toutefois, lorsque la personne est placée en garde à vue après avoir fait l'objet d'une mesure de privation de liberté en application du premier alinéa de l'article L. 3341-1 du CSP, le Conseil a formulé une réserve afin que, pour assurer le respect de la protection constitutionnelle de la liberté individuelle par l'autorité judiciaire, la durée du placement en chambre de sûreté, qui doit être consignée dans tous les cas par les agents de la police ou de la gendarmerie nationales, soit prise en compte dans la durée de garde à vue.</w:t>
      </w:r>
    </w:p>
    <w:p w14:paraId="642D1E65" w14:textId="77777777" w:rsidR="0090042F" w:rsidRPr="0090042F" w:rsidRDefault="0090042F" w:rsidP="0090042F">
      <w:pPr>
        <w:pStyle w:val="Titre1"/>
      </w:pPr>
      <w:r>
        <w:t xml:space="preserve">Conseil constitutionnel, n° 2015-527 QPC du 22 décembre 2015, </w:t>
      </w:r>
      <w:r>
        <w:rPr>
          <w:i/>
          <w:iCs/>
        </w:rPr>
        <w:t xml:space="preserve">M. Cédric D. </w:t>
      </w:r>
    </w:p>
    <w:p w14:paraId="20A9D5C5" w14:textId="77777777" w:rsidR="00C759AE" w:rsidRDefault="00C759AE" w:rsidP="003C61D2">
      <w:r>
        <w:t xml:space="preserve">Le Conseil constitutionnel a été saisi le 11 décembre 2015 par le Conseil d'État (décision n° 395009 du même jour), dans les conditions prévues à l'article 61-1 de la Constitution, d'une question prioritaire de constitutionnalité posée pour M. Cédric D. par la SCP Garreau Bauer-Violas </w:t>
      </w:r>
      <w:proofErr w:type="spellStart"/>
      <w:r>
        <w:t>Feschotte</w:t>
      </w:r>
      <w:proofErr w:type="spellEnd"/>
      <w:r>
        <w:t>-Desbois, avocat au Conseil d'Etat et à la Cour de cassation, relative à la conformité aux droits et libertés que la Constitution garantit de « l'article 6 de la loi du 3 avril 1955 relative à l'état d'urgence dans sa rédaction résultant de la loi du 20 novembre 2015 », enregistrée au secrétariat général du Conseil constitutionnel sous le n° 2015-527 QPC.</w:t>
      </w:r>
    </w:p>
    <w:p w14:paraId="343A3E37" w14:textId="77777777" w:rsidR="00C759AE" w:rsidRDefault="00C759AE" w:rsidP="003C61D2">
      <w:r>
        <w:t>LE CONSEIL CONSTITUTIONNEL,</w:t>
      </w:r>
    </w:p>
    <w:p w14:paraId="562519F2" w14:textId="5DEB645D" w:rsidR="00C759AE" w:rsidRDefault="00C759AE" w:rsidP="003C61D2">
      <w:r>
        <w:t>Vu la Constitution ;</w:t>
      </w:r>
    </w:p>
    <w:p w14:paraId="29E83738" w14:textId="2A762A24" w:rsidR="00C759AE" w:rsidRDefault="00C759AE" w:rsidP="003C61D2">
      <w:r>
        <w:t>Vu l'ordonnance n° 58-1067 du 7 novembre 1958 modifiée portant loi organique sur le Conseil constitutionnel ;</w:t>
      </w:r>
    </w:p>
    <w:p w14:paraId="77E26948" w14:textId="123B5F34" w:rsidR="00C759AE" w:rsidRDefault="00C759AE" w:rsidP="003C61D2">
      <w:r>
        <w:t>Vu la loi n° 55-385 du 3 avril 1955 relative à l'état d'urgence ;</w:t>
      </w:r>
    </w:p>
    <w:p w14:paraId="175E0CB1" w14:textId="0AC0033E" w:rsidR="00C759AE" w:rsidRDefault="00C759AE" w:rsidP="003C61D2">
      <w:r>
        <w:t>Vu la loi n° 2015-1501 du 20 novembre 2015 prorogeant l'application de la loi n° 55-385 du 3 avril 1955 relative à l'état d'urgence et renforçant l'efficacité de ses dispositions ;</w:t>
      </w:r>
    </w:p>
    <w:p w14:paraId="5DFAF17C" w14:textId="0E11726C" w:rsidR="00C759AE" w:rsidRDefault="00C759AE" w:rsidP="003C61D2">
      <w:r>
        <w:t>(…)</w:t>
      </w:r>
    </w:p>
    <w:p w14:paraId="7F0F04B9" w14:textId="4E5F40F2" w:rsidR="00C759AE" w:rsidRDefault="00C759AE" w:rsidP="003C61D2">
      <w:r>
        <w:t xml:space="preserve">1. Considérant qu'aux termes de l'article 6 de la loi du 3 avril 1955 susvisée dans sa rédaction issue de la loi du 20 novembre 2015 susvisée : « Le ministre de l'intérieur peut prononcer l'assignation à résidence, dans le lieu qu'il fixe, de toute personne résidant dans la zone fixée par le décret mentionné à l'article 2 et à l'égard de laquelle il existe des raisons sérieuses de penser que son comportement constitue une menace pour la sécurité et l'ordre publics dans les circonscriptions territoriales mentionnées au même article 2. Le ministre de l'intérieur peut la faire conduire sur le lieu de l'assignation à résidence par les services de police ou les unités de gendarmerie. « La personne mentionnée au premier alinéa du </w:t>
      </w:r>
      <w:r>
        <w:lastRenderedPageBreak/>
        <w:t>présent article peut également être astreinte à demeurer dans le lieu d'habitation déterminé par le ministre de l'intérieur, pendant la plage horaire qu'il fixe, dans la limite de douze heures par vingt-quatre heures.</w:t>
      </w:r>
    </w:p>
    <w:p w14:paraId="7E3535DF" w14:textId="77777777" w:rsidR="00C759AE" w:rsidRDefault="00C759AE" w:rsidP="003C61D2">
      <w:r>
        <w:t>« L'assignation à résidence doit permettre à ceux qui en sont l'objet de résider dans une agglomération ou à proximité immédiate d'une agglomération.</w:t>
      </w:r>
    </w:p>
    <w:p w14:paraId="5A60B834" w14:textId="77777777" w:rsidR="00C759AE" w:rsidRDefault="00C759AE" w:rsidP="003C61D2">
      <w:r>
        <w:t>« En aucun cas, l'assignation à résidence ne pourra avoir pour effet la création de camps où seraient détenues les personnes mentionnées au premier alinéa.</w:t>
      </w:r>
    </w:p>
    <w:p w14:paraId="4B877709" w14:textId="77777777" w:rsidR="00C759AE" w:rsidRDefault="00C759AE" w:rsidP="003C61D2">
      <w:r>
        <w:t>« L'autorité administrative devra prendre toutes dispositions pour assurer la subsistance des personnes astreintes à résidence ainsi que celle de leur famille.</w:t>
      </w:r>
    </w:p>
    <w:p w14:paraId="26EE6D70" w14:textId="77777777" w:rsidR="00C759AE" w:rsidRDefault="00C759AE" w:rsidP="003C61D2">
      <w:r>
        <w:t>« Le ministre de l'intérieur peut prescrire à la personne assignée à résidence :</w:t>
      </w:r>
    </w:p>
    <w:p w14:paraId="23E91B02" w14:textId="77777777" w:rsidR="00C759AE" w:rsidRDefault="00C759AE" w:rsidP="003C61D2">
      <w:r>
        <w:t>« 1 ° L'obligation de se présenter périodiquement aux services de police ou aux unités de gendarmerie, selon une fréquence qu'il détermine dans la limite de trois présentations par jour, en précisant si cette obligation s'applique y compris les dimanches et jours fériés ou chômés ;</w:t>
      </w:r>
    </w:p>
    <w:p w14:paraId="40BDF3D8" w14:textId="77777777" w:rsidR="00C759AE" w:rsidRDefault="00C759AE" w:rsidP="003C61D2">
      <w:r>
        <w:t>« 2 ° La remise à ces services de son passeport ou de tout document justificatif de son identité. Il lui est délivré en échange un récépissé, valant justification de son identité en application de l'article 1er de la loi n° 2012-410 du 27 mars 2012 relative à la protection de l'identité, sur lequel sont mentionnées la date de retenue et les modalités de restitution du document retenu.</w:t>
      </w:r>
    </w:p>
    <w:p w14:paraId="52407052" w14:textId="77777777" w:rsidR="00C759AE" w:rsidRDefault="00C759AE" w:rsidP="003C61D2">
      <w:r>
        <w:t>« La personne astreinte à résider dans le lieu qui lui est fixé en application du premier alinéa du présent article peut se voir interdire par le ministre de l'intérieur de se trouver en relation, directement ou indirectement, avec certaines personnes, nommément désignées, dont il existe des raisons sérieuses de penser que leur comportement constitue une menace pour la sécurité et l'ordre publics. Cette interdiction est levée dès qu'elle n'est plus nécessaire.</w:t>
      </w:r>
    </w:p>
    <w:p w14:paraId="0D21E53D" w14:textId="77777777" w:rsidR="00C759AE" w:rsidRDefault="00C759AE" w:rsidP="003C61D2">
      <w:r>
        <w:t xml:space="preserve">« Lorsque la personne assignée à résidence a été condamnée à une peine privative de liberté pour un crime qualifié d'acte de terrorisme ou pour un délit recevant </w:t>
      </w:r>
      <w:proofErr w:type="gramStart"/>
      <w:r>
        <w:t>la même qualification puni</w:t>
      </w:r>
      <w:proofErr w:type="gramEnd"/>
      <w:r>
        <w:t xml:space="preserve"> de dix ans d'emprisonnement et a fini l'exécution de sa peine depuis moins de huit ans, le ministre de l'intérieur peut également ordonner qu'elle soit placée sous surveillance électronique mobile. Ce placement est prononcé après accord de la personne concernée, recueilli par écrit. La personne concernée est astreinte, pendant toute la durée du placement, au port d'un dispositif technique permettant à tout moment de déterminer à distance sa localisation sur l'ensemble du territoire national. Elle ne peut être astreinte ni à l'obligation de se présenter périodiquement aux services de police et de gendarmerie, ni à l'obligation de demeurer dans le lieu d'habitation mentionné au deuxième alinéa. Le ministre de l'intérieur peut à tout moment mettre fin au placement sous surveillance électronique mobile, notamment en cas de manquement de la personne placée aux prescriptions liées à son assignation à résidence ou à son placement ou en cas de dysfonctionnement technique du dispositif de localisation à distance » ;</w:t>
      </w:r>
    </w:p>
    <w:p w14:paraId="6363C797" w14:textId="77777777" w:rsidR="00C759AE" w:rsidRDefault="00C759AE" w:rsidP="003C61D2">
      <w:r>
        <w:lastRenderedPageBreak/>
        <w:t>2. Considérant que, selon le requérant, l'association Ligue des Droits de l'Homme et M. Joël D., en posant une obligation de ne pas quitter un lieu déterminé et en imposant, le cas échéant, à la personne ainsi assignée à résidence de demeurer dans un lieu d'habitation et de se présenter plusieurs fois par jour aux services de police ou de gendarmerie, les dispositions contestées portent une atteinte inconstitutionnelle à la liberté d'aller et de venir, au droit de mener une vie privée et familiale normale ainsi qu'aux libertés de réunion et de manifestation ; qu'en ne définissant pas avec suffisamment de précision le régime de l'assignation à résidence, le législateur aurait méconnu l'étendue de sa compétence dans des conditions affectant ces droits et libertés constitutionnellement garantis ; que, dès lors que l'assignation à résidence n'est pas placée sous le contrôle de l'autorité judiciaire, les dispositions contestées méconnaîtraient les exigences de l'article 66 de la Constitution ; que selon M. Pierre B., Mme Soizic C., M. Luc G., Mme Marion S., MM. Corentin V., Sid Ahmed G. et Fabien K., les dispositions contestées méconnaissent le droit à un procès équitable, les droits de la défense et le principe du contradictoire ;</w:t>
      </w:r>
    </w:p>
    <w:p w14:paraId="675D8FDA" w14:textId="77777777" w:rsidR="00C759AE" w:rsidRDefault="00C759AE" w:rsidP="003C61D2">
      <w:r>
        <w:t>3. Considérant que la question prioritaire de constitutionnalité porte sur les neuf premiers alinéas de l'article 6 de la loi du 3 avril 1955 ;</w:t>
      </w:r>
    </w:p>
    <w:p w14:paraId="2AC4E744" w14:textId="77777777" w:rsidR="00C759AE" w:rsidRDefault="00C759AE" w:rsidP="003C61D2">
      <w:r>
        <w:t>- SUR LE GRIEF TIRÉ DE LA MÉCONNAISSANCE DES DROITS GARANTIS PAR L'ARTICLE 66 DE LA CONSTITUTION :</w:t>
      </w:r>
    </w:p>
    <w:p w14:paraId="2A20A72B" w14:textId="77777777" w:rsidR="00C759AE" w:rsidRDefault="00C759AE" w:rsidP="003C61D2">
      <w:r>
        <w:t>4. Considérant qu'aux termes de l'article 66 de la Constitution : « Nul ne peut être arbitrairement détenu. - L'autorité judiciaire, gardienne de la liberté individuelle, assure le respect de ce principe dans les conditions prévues par la loi » ; que la liberté individuelle, dont la protection est confiée à l'autorité judiciaire, ne saurait être entravée par une rigueur qui ne soit nécessaire ; que les atteintes portées à l'exercice de cette liberté doivent être adaptées, nécessaires et proportionnées aux objectifs poursuivis ;</w:t>
      </w:r>
    </w:p>
    <w:p w14:paraId="161F9F51" w14:textId="77777777" w:rsidR="00C759AE" w:rsidRDefault="00C759AE" w:rsidP="003C61D2">
      <w:r>
        <w:t>5. Considérant, en premier lieu, que les dispositions contestées permettent au ministre de l'intérieur, lorsque l'état d'urgence a été déclaré, de « prononcer l'assignation à résidence, dans le lieu qu'il fixe, de toute personne résidant dans la zone fixée » par le décret déclarant l'état d'urgence ; que cette assignation à résidence, qui ne peut être prononcée qu'à l'égard d'une personne pour laquelle « il existe des raisons sérieuses de penser que son comportement constitue une menace pour la sécurité et l'ordre publics », est une mesure qui relève de la seule police administrative et qui ne peut donc avoir d'autre but que de préserver l'ordre public et de prévenir les infractions ; que cette assignation à résidence « doit permettre à ceux qui en sont l'objet de résider dans une agglomération ou à proximité immédiate d'une agglomération » ; qu'elle ne peut en aucun cas « avoir pour effet la création de camps où seraient détenues les personnes » assignées à résidence ; que, tant par leur objet que par leur portée, ces dispositions ne comportent pas de privation de la liberté individuelle au sens de l'article 66 de la Constitution ;</w:t>
      </w:r>
    </w:p>
    <w:p w14:paraId="7ED35AAF" w14:textId="77777777" w:rsidR="00C759AE" w:rsidRDefault="00C759AE" w:rsidP="003C61D2">
      <w:r>
        <w:lastRenderedPageBreak/>
        <w:t>6. Considérant, en second lieu, que, dans le cadre d'une assignation à résidence prononcée par le ministre de l'intérieur, la personne « peut également être astreinte à demeurer dans le lieu d'habitation déterminé par le ministre de l'intérieur, pendant la plage horaire qu'il fixe, dans la limite de douze heures par vingt-quatre heures » ; que la plage horaire maximale de l'astreinte à domicile dans le cadre de l'assignation à résidence, fixée à douze heures par jour, ne saurait être allongée sans que l'assignation à résidence soit alors regardée comme une mesure privative de liberté, dès lors soumise aux exigences de l'article 66 de la Constitution ;</w:t>
      </w:r>
    </w:p>
    <w:p w14:paraId="0F5236E3" w14:textId="77777777" w:rsidR="00C759AE" w:rsidRDefault="00C759AE" w:rsidP="003C61D2">
      <w:r>
        <w:t>7. Considérant qu'il résulte de ce qui précède que le grief tiré de la méconnaissance de l'article 66 de la Constitution doit être écarté ;</w:t>
      </w:r>
    </w:p>
    <w:p w14:paraId="61A489BB" w14:textId="051AF908" w:rsidR="00C759AE" w:rsidRDefault="00C759AE" w:rsidP="003C61D2">
      <w:r>
        <w:t>(…)</w:t>
      </w:r>
    </w:p>
    <w:p w14:paraId="0044C200" w14:textId="77777777" w:rsidR="00C759AE" w:rsidRDefault="00C759AE" w:rsidP="003C61D2">
      <w:r>
        <w:t xml:space="preserve">    D É C I D E :</w:t>
      </w:r>
    </w:p>
    <w:p w14:paraId="065F6BB3" w14:textId="77777777" w:rsidR="00C759AE" w:rsidRDefault="00C759AE" w:rsidP="003C61D2">
      <w:r>
        <w:t xml:space="preserve">    Article 1</w:t>
      </w:r>
      <w:proofErr w:type="gramStart"/>
      <w:r>
        <w:t>er.-</w:t>
      </w:r>
      <w:proofErr w:type="gramEnd"/>
      <w:r>
        <w:t xml:space="preserve"> Les neuf premiers alinéas de l'article 6 de la loi n° 55-385 du 3 avril 1955 relative à l'état d'urgence sont conformes à la Constitution.</w:t>
      </w:r>
    </w:p>
    <w:p w14:paraId="4B1740D4" w14:textId="76D06438" w:rsidR="00C759AE" w:rsidRDefault="00C759AE" w:rsidP="003C61D2">
      <w:r>
        <w:t xml:space="preserve">    Article 2.- La présente décision sera publiée au Journal officiel de la République française et notifiée dans les conditions prévues à l'article 23-11 de l'ordonnance du 7 novembre 1958 susvisée.</w:t>
      </w:r>
    </w:p>
    <w:p w14:paraId="12A322D7" w14:textId="301E864C" w:rsidR="00202760" w:rsidRDefault="00202760" w:rsidP="00202760">
      <w:pPr>
        <w:pStyle w:val="Titre1"/>
      </w:pPr>
      <w:bookmarkStart w:id="1" w:name="_Hlk86233104"/>
      <w:r>
        <w:t xml:space="preserve">Le premier président de la Cour de cassation s'inquiète du pouvoir croissant du Conseil d'Etat, </w:t>
      </w:r>
      <w:r w:rsidRPr="00202760">
        <w:rPr>
          <w:i/>
          <w:iCs/>
        </w:rPr>
        <w:t>Le Monde</w:t>
      </w:r>
      <w:r>
        <w:t>, lundi 21 décembre 2015</w:t>
      </w:r>
    </w:p>
    <w:bookmarkEnd w:id="1"/>
    <w:p w14:paraId="16131077" w14:textId="77777777" w:rsidR="00202760" w:rsidRDefault="00202760" w:rsidP="00202760">
      <w:r>
        <w:t>Le premier magistrat de France, Bertrand Louvel, a déploré, le 18 décembre, la mise à l'écart de l'autorité judiciaire.</w:t>
      </w:r>
    </w:p>
    <w:p w14:paraId="59615972" w14:textId="53C61024" w:rsidR="00202760" w:rsidRDefault="00202760" w:rsidP="00202760">
      <w:r>
        <w:t>Bertrand Louvel, premier président de la Cour de cassation, et à ce titre premier magistrat de France, a dit vendredi 18 décembre tout le mal qu'il pensait de la mise à l'écart de l'autorité judiciaire, tant dans la loi renseignement que dans le cadre de l'état d'urgence. La démarche est rare et notable, mais la proverbiale réserve du haut magistrat a un peu assourdi la vigueur de sa critique : il n'est pas certain que ce discret coup de tonnerre bouleverse les pouvoirs publics.</w:t>
      </w:r>
    </w:p>
    <w:p w14:paraId="5A5D7A3B" w14:textId="7A0E8867" w:rsidR="00202760" w:rsidRDefault="00202760" w:rsidP="00202760">
      <w:r>
        <w:t>« Le principe de la séparation des pouvoirs veut que la justice soit rendue par une autorité distincte du pouvoir politique, a déclaré Bertrand Louvel lors d'un colloque sur le statut du magistrat. La justice statue sur les droits et libertés du citoyen. » Mais la France, « encore très imprégnée de son ancienne culture monarchique, peine à installer un système judiciaire authentiquement indépendant ». L'indépendance des juges est garantie par un Conseil supérieur de la magistrature (CSM), mais c'est le ministère de la justice qui a autorité sur tout le fonctionnement des juridictions : « Si un juge veut passer du tribunal de Paris à celui de Lille, il doit en faire la demande au ministre. »</w:t>
      </w:r>
    </w:p>
    <w:p w14:paraId="29674711" w14:textId="33F4C9D2" w:rsidR="00202760" w:rsidRDefault="00202760" w:rsidP="00202760">
      <w:r>
        <w:t>« Culture de dépendance »</w:t>
      </w:r>
    </w:p>
    <w:p w14:paraId="6EBC2CA1" w14:textId="0B2992E7" w:rsidR="00202760" w:rsidRDefault="00202760" w:rsidP="00202760">
      <w:r>
        <w:lastRenderedPageBreak/>
        <w:t>Un système hybride et peu satisfaisant, qui « tend à entretenir dans l'esprit des juges une culture de dépendance », résume fortement le premier président. De surcroît, c'est le Conseil d'État, le juge de l'administration, qui fixe la frontière entre l'activité du juge judiciaire et le service public de la justice. C'est même lui qui contrôle les avis du CSM sur la nomination des magistrats :</w:t>
      </w:r>
      <w:proofErr w:type="gramStart"/>
      <w:r>
        <w:t xml:space="preserve"> «Le</w:t>
      </w:r>
      <w:proofErr w:type="gramEnd"/>
      <w:r>
        <w:t xml:space="preserve"> Conseil supérieur de la magistrature, protecteur de la déontologie judiciaire, se trouve ainsi directement soumis au plein contrôle du juge de l'administration» , déplore M. Louvel.</w:t>
      </w:r>
    </w:p>
    <w:p w14:paraId="2A541E6F" w14:textId="4144EE01" w:rsidR="00202760" w:rsidRDefault="00202760" w:rsidP="00202760">
      <w:r>
        <w:t xml:space="preserve">L'agacement réciproque entre la Cour de cassation et le Conseil d'État est ancien, mais il semble aujourd'hui que la juridiction administrative ait pris le pas sur les juges. « Ainsi, paradoxalement, les spécificités de la magistrature, conçues comme une garantie essentielle des droits et libertés du citoyen, notamment </w:t>
      </w:r>
      <w:r>
        <w:rPr>
          <w:rFonts w:cs="Times New Roman"/>
        </w:rPr>
        <w:t>à</w:t>
      </w:r>
      <w:r>
        <w:t xml:space="preserve"> l'encontre de l'administration, sont aujourd'hui progressivement transférées dans la sphère de contrôle du juge de l'administration, au fur et à mesure que le périmètre de l'organisation du service public de la justice s’étend au détriment du fonctionnement proprement dit de l’autorité judiciaire</w:t>
      </w:r>
      <w:proofErr w:type="gramStart"/>
      <w:r>
        <w:t>.</w:t>
      </w:r>
      <w:r>
        <w:rPr>
          <w:rFonts w:cs="Times New Roman"/>
        </w:rPr>
        <w:t>»</w:t>
      </w:r>
      <w:proofErr w:type="gramEnd"/>
    </w:p>
    <w:p w14:paraId="5E65C39D" w14:textId="443FB40D" w:rsidR="00202760" w:rsidRDefault="00202760" w:rsidP="00202760">
      <w:r>
        <w:t>C'est désormais le juge administratif qui est chargé du contentieux de la loi renseignement et de celui de l’état d'urgence - le juge judiciaire a été mis sur la touche. « N'est-il pas temps que notre Parlement se saisisse de cette importante question, demande poliment le premier président, pour promouvoir une justice au service du public et non une justice service public, simple rouage de l'administration générale de l'État sous l’autorité du pouvoir exécutif ? »</w:t>
      </w:r>
    </w:p>
    <w:sectPr w:rsidR="00202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141F"/>
    <w:multiLevelType w:val="hybridMultilevel"/>
    <w:tmpl w:val="19E60AAE"/>
    <w:lvl w:ilvl="0" w:tplc="02A49BB6">
      <w:numFmt w:val="bullet"/>
      <w:lvlText w:val="-"/>
      <w:lvlJc w:val="left"/>
      <w:pPr>
        <w:ind w:left="526" w:hanging="360"/>
      </w:pPr>
      <w:rPr>
        <w:rFonts w:ascii="Times New Roman" w:eastAsiaTheme="minorHAnsi" w:hAnsi="Times New Roman" w:cs="Times New Roman" w:hint="default"/>
      </w:rPr>
    </w:lvl>
    <w:lvl w:ilvl="1" w:tplc="040C0003" w:tentative="1">
      <w:start w:val="1"/>
      <w:numFmt w:val="bullet"/>
      <w:lvlText w:val="o"/>
      <w:lvlJc w:val="left"/>
      <w:pPr>
        <w:ind w:left="1246" w:hanging="360"/>
      </w:pPr>
      <w:rPr>
        <w:rFonts w:ascii="Courier New" w:hAnsi="Courier New" w:cs="Courier New" w:hint="default"/>
      </w:rPr>
    </w:lvl>
    <w:lvl w:ilvl="2" w:tplc="040C0005" w:tentative="1">
      <w:start w:val="1"/>
      <w:numFmt w:val="bullet"/>
      <w:lvlText w:val=""/>
      <w:lvlJc w:val="left"/>
      <w:pPr>
        <w:ind w:left="1966" w:hanging="360"/>
      </w:pPr>
      <w:rPr>
        <w:rFonts w:ascii="Wingdings" w:hAnsi="Wingdings" w:hint="default"/>
      </w:rPr>
    </w:lvl>
    <w:lvl w:ilvl="3" w:tplc="040C0001" w:tentative="1">
      <w:start w:val="1"/>
      <w:numFmt w:val="bullet"/>
      <w:lvlText w:val=""/>
      <w:lvlJc w:val="left"/>
      <w:pPr>
        <w:ind w:left="2686" w:hanging="360"/>
      </w:pPr>
      <w:rPr>
        <w:rFonts w:ascii="Symbol" w:hAnsi="Symbol" w:hint="default"/>
      </w:rPr>
    </w:lvl>
    <w:lvl w:ilvl="4" w:tplc="040C0003" w:tentative="1">
      <w:start w:val="1"/>
      <w:numFmt w:val="bullet"/>
      <w:lvlText w:val="o"/>
      <w:lvlJc w:val="left"/>
      <w:pPr>
        <w:ind w:left="3406" w:hanging="360"/>
      </w:pPr>
      <w:rPr>
        <w:rFonts w:ascii="Courier New" w:hAnsi="Courier New" w:cs="Courier New" w:hint="default"/>
      </w:rPr>
    </w:lvl>
    <w:lvl w:ilvl="5" w:tplc="040C0005" w:tentative="1">
      <w:start w:val="1"/>
      <w:numFmt w:val="bullet"/>
      <w:lvlText w:val=""/>
      <w:lvlJc w:val="left"/>
      <w:pPr>
        <w:ind w:left="4126" w:hanging="360"/>
      </w:pPr>
      <w:rPr>
        <w:rFonts w:ascii="Wingdings" w:hAnsi="Wingdings" w:hint="default"/>
      </w:rPr>
    </w:lvl>
    <w:lvl w:ilvl="6" w:tplc="040C0001" w:tentative="1">
      <w:start w:val="1"/>
      <w:numFmt w:val="bullet"/>
      <w:lvlText w:val=""/>
      <w:lvlJc w:val="left"/>
      <w:pPr>
        <w:ind w:left="4846" w:hanging="360"/>
      </w:pPr>
      <w:rPr>
        <w:rFonts w:ascii="Symbol" w:hAnsi="Symbol" w:hint="default"/>
      </w:rPr>
    </w:lvl>
    <w:lvl w:ilvl="7" w:tplc="040C0003" w:tentative="1">
      <w:start w:val="1"/>
      <w:numFmt w:val="bullet"/>
      <w:lvlText w:val="o"/>
      <w:lvlJc w:val="left"/>
      <w:pPr>
        <w:ind w:left="5566" w:hanging="360"/>
      </w:pPr>
      <w:rPr>
        <w:rFonts w:ascii="Courier New" w:hAnsi="Courier New" w:cs="Courier New" w:hint="default"/>
      </w:rPr>
    </w:lvl>
    <w:lvl w:ilvl="8" w:tplc="040C0005" w:tentative="1">
      <w:start w:val="1"/>
      <w:numFmt w:val="bullet"/>
      <w:lvlText w:val=""/>
      <w:lvlJc w:val="left"/>
      <w:pPr>
        <w:ind w:left="6286" w:hanging="360"/>
      </w:pPr>
      <w:rPr>
        <w:rFonts w:ascii="Wingdings" w:hAnsi="Wingdings" w:hint="default"/>
      </w:rPr>
    </w:lvl>
  </w:abstractNum>
  <w:abstractNum w:abstractNumId="1" w15:restartNumberingAfterBreak="0">
    <w:nsid w:val="3CAB2EA5"/>
    <w:multiLevelType w:val="multilevel"/>
    <w:tmpl w:val="713A1ABA"/>
    <w:lvl w:ilvl="0">
      <w:start w:val="1"/>
      <w:numFmt w:val="decimal"/>
      <w:pStyle w:val="Titre-Chap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5E4585"/>
    <w:multiLevelType w:val="hybridMultilevel"/>
    <w:tmpl w:val="8CC84CC4"/>
    <w:lvl w:ilvl="0" w:tplc="02A49B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DD17C1"/>
    <w:multiLevelType w:val="hybridMultilevel"/>
    <w:tmpl w:val="ECE6D0B4"/>
    <w:lvl w:ilvl="0" w:tplc="24DC8272">
      <w:start w:val="1"/>
      <w:numFmt w:val="decimal"/>
      <w:lvlText w:val="CHAPITRE %1"/>
      <w:lvlJc w:val="left"/>
      <w:pPr>
        <w:ind w:left="720" w:hanging="360"/>
      </w:pPr>
      <w:rPr>
        <w:rFonts w:ascii="Times New Roman" w:hAnsi="Times New Roman"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85"/>
    <w:rsid w:val="001E4B4A"/>
    <w:rsid w:val="00202760"/>
    <w:rsid w:val="003059AF"/>
    <w:rsid w:val="003262A3"/>
    <w:rsid w:val="003C61D2"/>
    <w:rsid w:val="0045434E"/>
    <w:rsid w:val="005D5682"/>
    <w:rsid w:val="00626FA8"/>
    <w:rsid w:val="00666EED"/>
    <w:rsid w:val="0090042F"/>
    <w:rsid w:val="00955095"/>
    <w:rsid w:val="009604E2"/>
    <w:rsid w:val="00971273"/>
    <w:rsid w:val="009937CF"/>
    <w:rsid w:val="009E37C3"/>
    <w:rsid w:val="00A43813"/>
    <w:rsid w:val="00A84ECF"/>
    <w:rsid w:val="00AE45BC"/>
    <w:rsid w:val="00C14C3E"/>
    <w:rsid w:val="00C517A5"/>
    <w:rsid w:val="00C53427"/>
    <w:rsid w:val="00C759AE"/>
    <w:rsid w:val="00D13100"/>
    <w:rsid w:val="00DA3E85"/>
    <w:rsid w:val="00DD0627"/>
    <w:rsid w:val="00E009AF"/>
    <w:rsid w:val="00E95522"/>
    <w:rsid w:val="00EF020B"/>
    <w:rsid w:val="00F97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8788"/>
  <w15:chartTrackingRefBased/>
  <w15:docId w15:val="{0597D367-9217-41B0-AF81-A0AD4746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EED"/>
    <w:pPr>
      <w:spacing w:line="360" w:lineRule="auto"/>
      <w:jc w:val="both"/>
    </w:pPr>
    <w:rPr>
      <w:rFonts w:ascii="Times New Roman" w:hAnsi="Times New Roman"/>
    </w:rPr>
  </w:style>
  <w:style w:type="paragraph" w:styleId="Titre1">
    <w:name w:val="heading 1"/>
    <w:basedOn w:val="Normal"/>
    <w:next w:val="Normal"/>
    <w:link w:val="Titre1Car"/>
    <w:uiPriority w:val="9"/>
    <w:qFormat/>
    <w:rsid w:val="00A43813"/>
    <w:pPr>
      <w:spacing w:before="480" w:after="120"/>
      <w:jc w:val="center"/>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pitre">
    <w:name w:val="Titre - Chapitre"/>
    <w:next w:val="Normal"/>
    <w:link w:val="Titre-ChapitreCar"/>
    <w:qFormat/>
    <w:rsid w:val="00D13100"/>
    <w:pPr>
      <w:numPr>
        <w:numId w:val="2"/>
      </w:numPr>
      <w:spacing w:line="240" w:lineRule="auto"/>
      <w:ind w:hanging="360"/>
      <w:jc w:val="center"/>
    </w:pPr>
    <w:rPr>
      <w:rFonts w:ascii="Times New Roman" w:hAnsi="Times New Roman"/>
      <w:b/>
      <w:bCs/>
      <w:sz w:val="28"/>
      <w:szCs w:val="28"/>
    </w:rPr>
  </w:style>
  <w:style w:type="character" w:customStyle="1" w:styleId="Titre-ChapitreCar">
    <w:name w:val="Titre - Chapitre Car"/>
    <w:basedOn w:val="Policepardfaut"/>
    <w:link w:val="Titre-Chapitre"/>
    <w:rsid w:val="00D13100"/>
    <w:rPr>
      <w:rFonts w:ascii="Times New Roman" w:hAnsi="Times New Roman"/>
      <w:b/>
      <w:bCs/>
      <w:sz w:val="28"/>
      <w:szCs w:val="28"/>
    </w:rPr>
  </w:style>
  <w:style w:type="paragraph" w:styleId="Paragraphedeliste">
    <w:name w:val="List Paragraph"/>
    <w:basedOn w:val="Normal"/>
    <w:uiPriority w:val="34"/>
    <w:qFormat/>
    <w:rsid w:val="00EF020B"/>
    <w:pPr>
      <w:ind w:left="720"/>
      <w:contextualSpacing/>
    </w:pPr>
  </w:style>
  <w:style w:type="character" w:customStyle="1" w:styleId="Titre1Car">
    <w:name w:val="Titre 1 Car"/>
    <w:basedOn w:val="Policepardfaut"/>
    <w:link w:val="Titre1"/>
    <w:uiPriority w:val="9"/>
    <w:rsid w:val="00A43813"/>
    <w:rPr>
      <w:rFonts w:ascii="Times New Roman" w:hAnsi="Times New Roman"/>
      <w:b/>
      <w:bCs/>
      <w:u w:val="single"/>
    </w:rPr>
  </w:style>
  <w:style w:type="table" w:styleId="Grilledutableau">
    <w:name w:val="Table Grid"/>
    <w:basedOn w:val="TableauNormal"/>
    <w:uiPriority w:val="39"/>
    <w:rsid w:val="00E0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2657">
      <w:bodyDiv w:val="1"/>
      <w:marLeft w:val="0"/>
      <w:marRight w:val="0"/>
      <w:marTop w:val="0"/>
      <w:marBottom w:val="0"/>
      <w:divBdr>
        <w:top w:val="none" w:sz="0" w:space="0" w:color="auto"/>
        <w:left w:val="none" w:sz="0" w:space="0" w:color="auto"/>
        <w:bottom w:val="none" w:sz="0" w:space="0" w:color="auto"/>
        <w:right w:val="none" w:sz="0" w:space="0" w:color="auto"/>
      </w:divBdr>
      <w:divsChild>
        <w:div w:id="1519739467">
          <w:marLeft w:val="0"/>
          <w:marRight w:val="0"/>
          <w:marTop w:val="0"/>
          <w:marBottom w:val="0"/>
          <w:divBdr>
            <w:top w:val="none" w:sz="0" w:space="0" w:color="auto"/>
            <w:left w:val="none" w:sz="0" w:space="0" w:color="auto"/>
            <w:bottom w:val="none" w:sz="0" w:space="0" w:color="auto"/>
            <w:right w:val="none" w:sz="0" w:space="0" w:color="auto"/>
          </w:divBdr>
          <w:divsChild>
            <w:div w:id="159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765">
      <w:bodyDiv w:val="1"/>
      <w:marLeft w:val="0"/>
      <w:marRight w:val="0"/>
      <w:marTop w:val="0"/>
      <w:marBottom w:val="0"/>
      <w:divBdr>
        <w:top w:val="none" w:sz="0" w:space="0" w:color="auto"/>
        <w:left w:val="none" w:sz="0" w:space="0" w:color="auto"/>
        <w:bottom w:val="none" w:sz="0" w:space="0" w:color="auto"/>
        <w:right w:val="none" w:sz="0" w:space="0" w:color="auto"/>
      </w:divBdr>
    </w:div>
    <w:div w:id="806900261">
      <w:bodyDiv w:val="1"/>
      <w:marLeft w:val="0"/>
      <w:marRight w:val="0"/>
      <w:marTop w:val="0"/>
      <w:marBottom w:val="0"/>
      <w:divBdr>
        <w:top w:val="none" w:sz="0" w:space="0" w:color="auto"/>
        <w:left w:val="none" w:sz="0" w:space="0" w:color="auto"/>
        <w:bottom w:val="none" w:sz="0" w:space="0" w:color="auto"/>
        <w:right w:val="none" w:sz="0" w:space="0" w:color="auto"/>
      </w:divBdr>
      <w:divsChild>
        <w:div w:id="585922930">
          <w:marLeft w:val="0"/>
          <w:marRight w:val="0"/>
          <w:marTop w:val="0"/>
          <w:marBottom w:val="0"/>
          <w:divBdr>
            <w:top w:val="none" w:sz="0" w:space="0" w:color="auto"/>
            <w:left w:val="none" w:sz="0" w:space="0" w:color="auto"/>
            <w:bottom w:val="none" w:sz="0" w:space="0" w:color="auto"/>
            <w:right w:val="none" w:sz="0" w:space="0" w:color="auto"/>
          </w:divBdr>
        </w:div>
      </w:divsChild>
    </w:div>
    <w:div w:id="917177612">
      <w:bodyDiv w:val="1"/>
      <w:marLeft w:val="0"/>
      <w:marRight w:val="0"/>
      <w:marTop w:val="0"/>
      <w:marBottom w:val="0"/>
      <w:divBdr>
        <w:top w:val="none" w:sz="0" w:space="0" w:color="auto"/>
        <w:left w:val="none" w:sz="0" w:space="0" w:color="auto"/>
        <w:bottom w:val="none" w:sz="0" w:space="0" w:color="auto"/>
        <w:right w:val="none" w:sz="0" w:space="0" w:color="auto"/>
      </w:divBdr>
      <w:divsChild>
        <w:div w:id="19597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764819">
      <w:bodyDiv w:val="1"/>
      <w:marLeft w:val="0"/>
      <w:marRight w:val="0"/>
      <w:marTop w:val="0"/>
      <w:marBottom w:val="0"/>
      <w:divBdr>
        <w:top w:val="none" w:sz="0" w:space="0" w:color="auto"/>
        <w:left w:val="none" w:sz="0" w:space="0" w:color="auto"/>
        <w:bottom w:val="none" w:sz="0" w:space="0" w:color="auto"/>
        <w:right w:val="none" w:sz="0" w:space="0" w:color="auto"/>
      </w:divBdr>
    </w:div>
    <w:div w:id="1033992234">
      <w:bodyDiv w:val="1"/>
      <w:marLeft w:val="0"/>
      <w:marRight w:val="0"/>
      <w:marTop w:val="0"/>
      <w:marBottom w:val="0"/>
      <w:divBdr>
        <w:top w:val="none" w:sz="0" w:space="0" w:color="auto"/>
        <w:left w:val="none" w:sz="0" w:space="0" w:color="auto"/>
        <w:bottom w:val="none" w:sz="0" w:space="0" w:color="auto"/>
        <w:right w:val="none" w:sz="0" w:space="0" w:color="auto"/>
      </w:divBdr>
    </w:div>
    <w:div w:id="1381201970">
      <w:bodyDiv w:val="1"/>
      <w:marLeft w:val="0"/>
      <w:marRight w:val="0"/>
      <w:marTop w:val="0"/>
      <w:marBottom w:val="0"/>
      <w:divBdr>
        <w:top w:val="none" w:sz="0" w:space="0" w:color="auto"/>
        <w:left w:val="none" w:sz="0" w:space="0" w:color="auto"/>
        <w:bottom w:val="none" w:sz="0" w:space="0" w:color="auto"/>
        <w:right w:val="none" w:sz="0" w:space="0" w:color="auto"/>
      </w:divBdr>
    </w:div>
    <w:div w:id="1604922539">
      <w:bodyDiv w:val="1"/>
      <w:marLeft w:val="0"/>
      <w:marRight w:val="0"/>
      <w:marTop w:val="0"/>
      <w:marBottom w:val="0"/>
      <w:divBdr>
        <w:top w:val="none" w:sz="0" w:space="0" w:color="auto"/>
        <w:left w:val="none" w:sz="0" w:space="0" w:color="auto"/>
        <w:bottom w:val="none" w:sz="0" w:space="0" w:color="auto"/>
        <w:right w:val="none" w:sz="0" w:space="0" w:color="auto"/>
      </w:divBdr>
      <w:divsChild>
        <w:div w:id="36466245">
          <w:marLeft w:val="0"/>
          <w:marRight w:val="0"/>
          <w:marTop w:val="0"/>
          <w:marBottom w:val="0"/>
          <w:divBdr>
            <w:top w:val="none" w:sz="0" w:space="0" w:color="auto"/>
            <w:left w:val="none" w:sz="0" w:space="0" w:color="auto"/>
            <w:bottom w:val="none" w:sz="0" w:space="0" w:color="auto"/>
            <w:right w:val="none" w:sz="0" w:space="0" w:color="auto"/>
          </w:divBdr>
        </w:div>
        <w:div w:id="2000572111">
          <w:marLeft w:val="0"/>
          <w:marRight w:val="0"/>
          <w:marTop w:val="0"/>
          <w:marBottom w:val="0"/>
          <w:divBdr>
            <w:top w:val="none" w:sz="0" w:space="0" w:color="auto"/>
            <w:left w:val="none" w:sz="0" w:space="0" w:color="auto"/>
            <w:bottom w:val="none" w:sz="0" w:space="0" w:color="auto"/>
            <w:right w:val="none" w:sz="0" w:space="0" w:color="auto"/>
          </w:divBdr>
        </w:div>
        <w:div w:id="2068411478">
          <w:marLeft w:val="0"/>
          <w:marRight w:val="0"/>
          <w:marTop w:val="0"/>
          <w:marBottom w:val="0"/>
          <w:divBdr>
            <w:top w:val="none" w:sz="0" w:space="0" w:color="auto"/>
            <w:left w:val="none" w:sz="0" w:space="0" w:color="auto"/>
            <w:bottom w:val="none" w:sz="0" w:space="0" w:color="auto"/>
            <w:right w:val="none" w:sz="0" w:space="0" w:color="auto"/>
          </w:divBdr>
        </w:div>
        <w:div w:id="433600265">
          <w:marLeft w:val="0"/>
          <w:marRight w:val="0"/>
          <w:marTop w:val="0"/>
          <w:marBottom w:val="0"/>
          <w:divBdr>
            <w:top w:val="none" w:sz="0" w:space="0" w:color="auto"/>
            <w:left w:val="none" w:sz="0" w:space="0" w:color="auto"/>
            <w:bottom w:val="none" w:sz="0" w:space="0" w:color="auto"/>
            <w:right w:val="none" w:sz="0" w:space="0" w:color="auto"/>
          </w:divBdr>
          <w:divsChild>
            <w:div w:id="10296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431">
      <w:bodyDiv w:val="1"/>
      <w:marLeft w:val="0"/>
      <w:marRight w:val="0"/>
      <w:marTop w:val="0"/>
      <w:marBottom w:val="0"/>
      <w:divBdr>
        <w:top w:val="none" w:sz="0" w:space="0" w:color="auto"/>
        <w:left w:val="none" w:sz="0" w:space="0" w:color="auto"/>
        <w:bottom w:val="none" w:sz="0" w:space="0" w:color="auto"/>
        <w:right w:val="none" w:sz="0" w:space="0" w:color="auto"/>
      </w:divBdr>
    </w:div>
    <w:div w:id="1689523816">
      <w:bodyDiv w:val="1"/>
      <w:marLeft w:val="0"/>
      <w:marRight w:val="0"/>
      <w:marTop w:val="0"/>
      <w:marBottom w:val="0"/>
      <w:divBdr>
        <w:top w:val="none" w:sz="0" w:space="0" w:color="auto"/>
        <w:left w:val="none" w:sz="0" w:space="0" w:color="auto"/>
        <w:bottom w:val="none" w:sz="0" w:space="0" w:color="auto"/>
        <w:right w:val="none" w:sz="0" w:space="0" w:color="auto"/>
      </w:divBdr>
      <w:divsChild>
        <w:div w:id="180381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066400">
      <w:bodyDiv w:val="1"/>
      <w:marLeft w:val="0"/>
      <w:marRight w:val="0"/>
      <w:marTop w:val="0"/>
      <w:marBottom w:val="0"/>
      <w:divBdr>
        <w:top w:val="none" w:sz="0" w:space="0" w:color="auto"/>
        <w:left w:val="none" w:sz="0" w:space="0" w:color="auto"/>
        <w:bottom w:val="none" w:sz="0" w:space="0" w:color="auto"/>
        <w:right w:val="none" w:sz="0" w:space="0" w:color="auto"/>
      </w:divBdr>
    </w:div>
    <w:div w:id="19605310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747192">
      <w:bodyDiv w:val="1"/>
      <w:marLeft w:val="0"/>
      <w:marRight w:val="0"/>
      <w:marTop w:val="0"/>
      <w:marBottom w:val="0"/>
      <w:divBdr>
        <w:top w:val="none" w:sz="0" w:space="0" w:color="auto"/>
        <w:left w:val="none" w:sz="0" w:space="0" w:color="auto"/>
        <w:bottom w:val="none" w:sz="0" w:space="0" w:color="auto"/>
        <w:right w:val="none" w:sz="0" w:space="0" w:color="auto"/>
      </w:divBdr>
      <w:divsChild>
        <w:div w:id="526794019">
          <w:marLeft w:val="0"/>
          <w:marRight w:val="0"/>
          <w:marTop w:val="0"/>
          <w:marBottom w:val="0"/>
          <w:divBdr>
            <w:top w:val="none" w:sz="0" w:space="0" w:color="auto"/>
            <w:left w:val="none" w:sz="0" w:space="0" w:color="auto"/>
            <w:bottom w:val="none" w:sz="0" w:space="0" w:color="auto"/>
            <w:right w:val="none" w:sz="0" w:space="0" w:color="auto"/>
          </w:divBdr>
          <w:divsChild>
            <w:div w:id="1949971207">
              <w:marLeft w:val="0"/>
              <w:marRight w:val="0"/>
              <w:marTop w:val="0"/>
              <w:marBottom w:val="0"/>
              <w:divBdr>
                <w:top w:val="none" w:sz="0" w:space="0" w:color="auto"/>
                <w:left w:val="none" w:sz="0" w:space="0" w:color="auto"/>
                <w:bottom w:val="none" w:sz="0" w:space="0" w:color="auto"/>
                <w:right w:val="none" w:sz="0" w:space="0" w:color="auto"/>
              </w:divBdr>
              <w:divsChild>
                <w:div w:id="23200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7049916">
      <w:bodyDiv w:val="1"/>
      <w:marLeft w:val="0"/>
      <w:marRight w:val="0"/>
      <w:marTop w:val="0"/>
      <w:marBottom w:val="0"/>
      <w:divBdr>
        <w:top w:val="none" w:sz="0" w:space="0" w:color="auto"/>
        <w:left w:val="none" w:sz="0" w:space="0" w:color="auto"/>
        <w:bottom w:val="none" w:sz="0" w:space="0" w:color="auto"/>
        <w:right w:val="none" w:sz="0" w:space="0" w:color="auto"/>
      </w:divBdr>
      <w:divsChild>
        <w:div w:id="696810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5129</Words>
  <Characters>28211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Le Guay</dc:creator>
  <cp:keywords/>
  <dc:description/>
  <cp:lastModifiedBy>Jean-Francois Brisson</cp:lastModifiedBy>
  <cp:revision>2</cp:revision>
  <dcterms:created xsi:type="dcterms:W3CDTF">2021-10-29T16:44:00Z</dcterms:created>
  <dcterms:modified xsi:type="dcterms:W3CDTF">2021-10-29T16:44:00Z</dcterms:modified>
</cp:coreProperties>
</file>