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57" w:rsidRPr="00AB05E0" w:rsidRDefault="003D7031" w:rsidP="00B00A07">
      <w:pPr>
        <w:jc w:val="both"/>
        <w:rPr>
          <w:sz w:val="24"/>
          <w:szCs w:val="24"/>
        </w:rPr>
      </w:pPr>
      <w:r w:rsidRPr="00AB05E0">
        <w:rPr>
          <w:sz w:val="24"/>
          <w:szCs w:val="24"/>
        </w:rPr>
        <w:t>Le</w:t>
      </w:r>
      <w:r w:rsidRPr="00AB05E0">
        <w:rPr>
          <w:spacing w:val="1"/>
          <w:sz w:val="24"/>
          <w:szCs w:val="24"/>
        </w:rPr>
        <w:t xml:space="preserve"> </w:t>
      </w:r>
      <w:r w:rsidRPr="00AB05E0">
        <w:rPr>
          <w:sz w:val="24"/>
          <w:szCs w:val="24"/>
        </w:rPr>
        <w:t>pouvoir</w:t>
      </w:r>
      <w:r w:rsidRPr="00AB05E0">
        <w:rPr>
          <w:spacing w:val="1"/>
          <w:sz w:val="24"/>
          <w:szCs w:val="24"/>
        </w:rPr>
        <w:t xml:space="preserve"> </w:t>
      </w:r>
      <w:r w:rsidRPr="00AB05E0">
        <w:rPr>
          <w:sz w:val="24"/>
          <w:szCs w:val="24"/>
        </w:rPr>
        <w:t>réglementaire</w:t>
      </w:r>
      <w:r w:rsidRPr="00AB05E0">
        <w:rPr>
          <w:spacing w:val="1"/>
          <w:sz w:val="24"/>
          <w:szCs w:val="24"/>
        </w:rPr>
        <w:t xml:space="preserve"> </w:t>
      </w:r>
      <w:r w:rsidR="00175E6B">
        <w:rPr>
          <w:sz w:val="24"/>
          <w:szCs w:val="24"/>
        </w:rPr>
        <w:t xml:space="preserve">désigne </w:t>
      </w:r>
      <w:r w:rsidRPr="00AB05E0">
        <w:rPr>
          <w:spacing w:val="1"/>
          <w:sz w:val="24"/>
          <w:szCs w:val="24"/>
        </w:rPr>
        <w:t xml:space="preserve"> </w:t>
      </w:r>
      <w:r w:rsidR="00CD0A29" w:rsidRPr="00AB05E0">
        <w:rPr>
          <w:sz w:val="24"/>
          <w:szCs w:val="24"/>
        </w:rPr>
        <w:t xml:space="preserve">la </w:t>
      </w:r>
      <w:r w:rsidR="00175E6B">
        <w:rPr>
          <w:sz w:val="24"/>
          <w:szCs w:val="24"/>
        </w:rPr>
        <w:t>compétence</w:t>
      </w:r>
      <w:r w:rsidR="00CD0A29" w:rsidRPr="00AB05E0">
        <w:rPr>
          <w:sz w:val="24"/>
          <w:szCs w:val="24"/>
        </w:rPr>
        <w:t xml:space="preserve"> </w:t>
      </w:r>
      <w:r w:rsidRPr="00AB05E0">
        <w:rPr>
          <w:sz w:val="24"/>
          <w:szCs w:val="24"/>
        </w:rPr>
        <w:t>de</w:t>
      </w:r>
      <w:r w:rsidRPr="00AB05E0">
        <w:rPr>
          <w:spacing w:val="1"/>
          <w:sz w:val="24"/>
          <w:szCs w:val="24"/>
        </w:rPr>
        <w:t xml:space="preserve"> </w:t>
      </w:r>
      <w:r w:rsidRPr="00AB05E0">
        <w:rPr>
          <w:sz w:val="24"/>
          <w:szCs w:val="24"/>
        </w:rPr>
        <w:t>prendre</w:t>
      </w:r>
      <w:r w:rsidRPr="00AB05E0">
        <w:rPr>
          <w:spacing w:val="1"/>
          <w:sz w:val="24"/>
          <w:szCs w:val="24"/>
        </w:rPr>
        <w:t xml:space="preserve"> </w:t>
      </w:r>
      <w:r w:rsidRPr="00AB05E0">
        <w:rPr>
          <w:sz w:val="24"/>
          <w:szCs w:val="24"/>
        </w:rPr>
        <w:t>unilatéralement</w:t>
      </w:r>
      <w:r w:rsidRPr="00AB05E0">
        <w:rPr>
          <w:spacing w:val="1"/>
          <w:sz w:val="24"/>
          <w:szCs w:val="24"/>
        </w:rPr>
        <w:t xml:space="preserve"> </w:t>
      </w:r>
      <w:r w:rsidRPr="00AB05E0">
        <w:rPr>
          <w:sz w:val="24"/>
          <w:szCs w:val="24"/>
        </w:rPr>
        <w:t>des</w:t>
      </w:r>
      <w:r w:rsidRPr="00AB05E0">
        <w:rPr>
          <w:spacing w:val="1"/>
          <w:sz w:val="24"/>
          <w:szCs w:val="24"/>
        </w:rPr>
        <w:t xml:space="preserve"> </w:t>
      </w:r>
      <w:r w:rsidRPr="00AB05E0">
        <w:rPr>
          <w:sz w:val="24"/>
          <w:szCs w:val="24"/>
        </w:rPr>
        <w:t>actes</w:t>
      </w:r>
      <w:r w:rsidRPr="00AB05E0">
        <w:rPr>
          <w:spacing w:val="1"/>
          <w:sz w:val="24"/>
          <w:szCs w:val="24"/>
        </w:rPr>
        <w:t xml:space="preserve"> </w:t>
      </w:r>
      <w:r w:rsidRPr="00AB05E0">
        <w:rPr>
          <w:sz w:val="24"/>
          <w:szCs w:val="24"/>
        </w:rPr>
        <w:t>de</w:t>
      </w:r>
      <w:r w:rsidRPr="00AB05E0">
        <w:rPr>
          <w:spacing w:val="-57"/>
          <w:sz w:val="24"/>
          <w:szCs w:val="24"/>
        </w:rPr>
        <w:t xml:space="preserve"> </w:t>
      </w:r>
      <w:r w:rsidRPr="00AB05E0">
        <w:rPr>
          <w:sz w:val="24"/>
          <w:szCs w:val="24"/>
        </w:rPr>
        <w:t>caractère général</w:t>
      </w:r>
      <w:r w:rsidRPr="00AB05E0">
        <w:rPr>
          <w:spacing w:val="1"/>
          <w:sz w:val="24"/>
          <w:szCs w:val="24"/>
        </w:rPr>
        <w:t xml:space="preserve"> </w:t>
      </w:r>
      <w:r w:rsidRPr="00AB05E0">
        <w:rPr>
          <w:sz w:val="24"/>
          <w:szCs w:val="24"/>
        </w:rPr>
        <w:t>et impersonnel.</w:t>
      </w:r>
      <w:r w:rsidRPr="00AB05E0">
        <w:rPr>
          <w:spacing w:val="1"/>
          <w:sz w:val="24"/>
          <w:szCs w:val="24"/>
        </w:rPr>
        <w:t xml:space="preserve"> </w:t>
      </w:r>
      <w:r w:rsidR="00175E6B">
        <w:rPr>
          <w:spacing w:val="1"/>
          <w:sz w:val="24"/>
          <w:szCs w:val="24"/>
        </w:rPr>
        <w:t xml:space="preserve">La </w:t>
      </w:r>
      <w:r w:rsidRPr="00AB05E0">
        <w:rPr>
          <w:sz w:val="24"/>
          <w:szCs w:val="24"/>
        </w:rPr>
        <w:t>Constitution du 4 octobre 1958</w:t>
      </w:r>
      <w:r w:rsidRPr="00AB05E0">
        <w:rPr>
          <w:spacing w:val="60"/>
          <w:sz w:val="24"/>
          <w:szCs w:val="24"/>
        </w:rPr>
        <w:t xml:space="preserve"> </w:t>
      </w:r>
      <w:r w:rsidRPr="00AB05E0">
        <w:rPr>
          <w:sz w:val="24"/>
          <w:szCs w:val="24"/>
        </w:rPr>
        <w:t xml:space="preserve">reconnaît </w:t>
      </w:r>
      <w:r w:rsidR="00C15652" w:rsidRPr="00AB05E0">
        <w:rPr>
          <w:sz w:val="24"/>
          <w:szCs w:val="24"/>
        </w:rPr>
        <w:t xml:space="preserve">expressément </w:t>
      </w:r>
      <w:r w:rsidRPr="00AB05E0">
        <w:rPr>
          <w:spacing w:val="-57"/>
          <w:sz w:val="24"/>
          <w:szCs w:val="24"/>
        </w:rPr>
        <w:t xml:space="preserve"> </w:t>
      </w:r>
      <w:r w:rsidRPr="00AB05E0">
        <w:rPr>
          <w:sz w:val="24"/>
          <w:szCs w:val="24"/>
        </w:rPr>
        <w:t>le</w:t>
      </w:r>
      <w:r w:rsidRPr="00AB05E0">
        <w:rPr>
          <w:spacing w:val="13"/>
          <w:sz w:val="24"/>
          <w:szCs w:val="24"/>
        </w:rPr>
        <w:t xml:space="preserve"> </w:t>
      </w:r>
      <w:r w:rsidRPr="00AB05E0">
        <w:rPr>
          <w:sz w:val="24"/>
          <w:szCs w:val="24"/>
        </w:rPr>
        <w:t>pouvoir</w:t>
      </w:r>
      <w:r w:rsidRPr="00AB05E0">
        <w:rPr>
          <w:spacing w:val="15"/>
          <w:sz w:val="24"/>
          <w:szCs w:val="24"/>
        </w:rPr>
        <w:t xml:space="preserve"> </w:t>
      </w:r>
      <w:r w:rsidRPr="00AB05E0">
        <w:rPr>
          <w:sz w:val="24"/>
          <w:szCs w:val="24"/>
        </w:rPr>
        <w:t>réglementaire</w:t>
      </w:r>
      <w:r w:rsidRPr="00AB05E0">
        <w:rPr>
          <w:spacing w:val="16"/>
          <w:sz w:val="24"/>
          <w:szCs w:val="24"/>
        </w:rPr>
        <w:t xml:space="preserve"> </w:t>
      </w:r>
      <w:r w:rsidR="00126948">
        <w:rPr>
          <w:sz w:val="24"/>
          <w:szCs w:val="24"/>
        </w:rPr>
        <w:t>en ce qu’elle crée</w:t>
      </w:r>
      <w:r w:rsidRPr="00AB05E0">
        <w:rPr>
          <w:spacing w:val="17"/>
          <w:sz w:val="24"/>
          <w:szCs w:val="24"/>
        </w:rPr>
        <w:t xml:space="preserve"> </w:t>
      </w:r>
      <w:r w:rsidRPr="00AB05E0">
        <w:rPr>
          <w:sz w:val="24"/>
          <w:szCs w:val="24"/>
        </w:rPr>
        <w:t>un</w:t>
      </w:r>
      <w:r w:rsidRPr="00AB05E0">
        <w:rPr>
          <w:spacing w:val="14"/>
          <w:sz w:val="24"/>
          <w:szCs w:val="24"/>
        </w:rPr>
        <w:t xml:space="preserve"> </w:t>
      </w:r>
      <w:r w:rsidRPr="00AB05E0">
        <w:rPr>
          <w:sz w:val="24"/>
          <w:szCs w:val="24"/>
        </w:rPr>
        <w:t>domaine</w:t>
      </w:r>
      <w:r w:rsidR="00C15652" w:rsidRPr="00AB05E0">
        <w:rPr>
          <w:sz w:val="24"/>
          <w:szCs w:val="24"/>
        </w:rPr>
        <w:t xml:space="preserve"> autonome </w:t>
      </w:r>
      <w:r w:rsidRPr="00AB05E0">
        <w:rPr>
          <w:spacing w:val="17"/>
          <w:sz w:val="24"/>
          <w:szCs w:val="24"/>
        </w:rPr>
        <w:t xml:space="preserve"> </w:t>
      </w:r>
      <w:r w:rsidRPr="00AB05E0">
        <w:rPr>
          <w:sz w:val="24"/>
          <w:szCs w:val="24"/>
        </w:rPr>
        <w:t>du</w:t>
      </w:r>
      <w:r w:rsidRPr="00AB05E0">
        <w:rPr>
          <w:spacing w:val="15"/>
          <w:sz w:val="24"/>
          <w:szCs w:val="24"/>
        </w:rPr>
        <w:t xml:space="preserve"> </w:t>
      </w:r>
      <w:r w:rsidRPr="00AB05E0">
        <w:rPr>
          <w:sz w:val="24"/>
          <w:szCs w:val="24"/>
        </w:rPr>
        <w:t>règlement</w:t>
      </w:r>
      <w:r w:rsidRPr="00AB05E0">
        <w:rPr>
          <w:spacing w:val="16"/>
          <w:sz w:val="24"/>
          <w:szCs w:val="24"/>
        </w:rPr>
        <w:t xml:space="preserve"> </w:t>
      </w:r>
      <w:r w:rsidR="00C15652" w:rsidRPr="00AB05E0">
        <w:rPr>
          <w:sz w:val="24"/>
          <w:szCs w:val="24"/>
        </w:rPr>
        <w:t xml:space="preserve">qui n’est pas </w:t>
      </w:r>
      <w:r w:rsidRPr="00AB05E0">
        <w:rPr>
          <w:sz w:val="24"/>
          <w:szCs w:val="24"/>
        </w:rPr>
        <w:t>non</w:t>
      </w:r>
      <w:r w:rsidRPr="00AB05E0">
        <w:rPr>
          <w:spacing w:val="15"/>
          <w:sz w:val="24"/>
          <w:szCs w:val="24"/>
        </w:rPr>
        <w:t xml:space="preserve"> </w:t>
      </w:r>
      <w:r w:rsidRPr="00AB05E0">
        <w:rPr>
          <w:sz w:val="24"/>
          <w:szCs w:val="24"/>
        </w:rPr>
        <w:t>soumis</w:t>
      </w:r>
      <w:r w:rsidRPr="00AB05E0">
        <w:rPr>
          <w:spacing w:val="15"/>
          <w:sz w:val="24"/>
          <w:szCs w:val="24"/>
        </w:rPr>
        <w:t xml:space="preserve"> </w:t>
      </w:r>
      <w:r w:rsidRPr="00AB05E0">
        <w:rPr>
          <w:sz w:val="24"/>
          <w:szCs w:val="24"/>
        </w:rPr>
        <w:t>à</w:t>
      </w:r>
      <w:r w:rsidRPr="00AB05E0">
        <w:rPr>
          <w:spacing w:val="-57"/>
          <w:sz w:val="24"/>
          <w:szCs w:val="24"/>
        </w:rPr>
        <w:t xml:space="preserve"> </w:t>
      </w:r>
      <w:r w:rsidRPr="00AB05E0">
        <w:rPr>
          <w:sz w:val="24"/>
          <w:szCs w:val="24"/>
        </w:rPr>
        <w:t>la</w:t>
      </w:r>
      <w:r w:rsidRPr="00AB05E0">
        <w:rPr>
          <w:spacing w:val="-2"/>
          <w:sz w:val="24"/>
          <w:szCs w:val="24"/>
        </w:rPr>
        <w:t xml:space="preserve"> </w:t>
      </w:r>
      <w:r w:rsidRPr="00AB05E0">
        <w:rPr>
          <w:sz w:val="24"/>
          <w:szCs w:val="24"/>
        </w:rPr>
        <w:t>loi</w:t>
      </w:r>
      <w:r w:rsidRPr="00AB05E0">
        <w:rPr>
          <w:spacing w:val="-1"/>
          <w:sz w:val="24"/>
          <w:szCs w:val="24"/>
        </w:rPr>
        <w:t xml:space="preserve"> </w:t>
      </w:r>
      <w:r w:rsidRPr="00AB05E0">
        <w:rPr>
          <w:sz w:val="24"/>
          <w:szCs w:val="24"/>
        </w:rPr>
        <w:t>(article</w:t>
      </w:r>
      <w:r w:rsidRPr="00AB05E0">
        <w:rPr>
          <w:spacing w:val="-1"/>
          <w:sz w:val="24"/>
          <w:szCs w:val="24"/>
        </w:rPr>
        <w:t xml:space="preserve"> </w:t>
      </w:r>
      <w:r w:rsidR="00C15652" w:rsidRPr="00AB05E0">
        <w:rPr>
          <w:sz w:val="24"/>
          <w:szCs w:val="24"/>
        </w:rPr>
        <w:t xml:space="preserve">37). </w:t>
      </w:r>
      <w:r w:rsidRPr="00AB05E0">
        <w:rPr>
          <w:spacing w:val="1"/>
          <w:sz w:val="24"/>
          <w:szCs w:val="24"/>
        </w:rPr>
        <w:t xml:space="preserve"> </w:t>
      </w:r>
      <w:r w:rsidR="00C15652" w:rsidRPr="00AB05E0">
        <w:rPr>
          <w:spacing w:val="1"/>
          <w:sz w:val="24"/>
          <w:szCs w:val="24"/>
        </w:rPr>
        <w:t xml:space="preserve">La constitution limite </w:t>
      </w:r>
      <w:r w:rsidR="00C15652" w:rsidRPr="00AB05E0">
        <w:rPr>
          <w:sz w:val="24"/>
          <w:szCs w:val="24"/>
        </w:rPr>
        <w:t xml:space="preserve">le champ d’action du législateur à des matières bien déterminées </w:t>
      </w:r>
      <w:r w:rsidRPr="00AB05E0">
        <w:rPr>
          <w:sz w:val="24"/>
          <w:szCs w:val="24"/>
        </w:rPr>
        <w:t>(article</w:t>
      </w:r>
      <w:r w:rsidRPr="00AB05E0">
        <w:rPr>
          <w:spacing w:val="-1"/>
          <w:sz w:val="24"/>
          <w:szCs w:val="24"/>
        </w:rPr>
        <w:t xml:space="preserve"> </w:t>
      </w:r>
      <w:r w:rsidRPr="00AB05E0">
        <w:rPr>
          <w:sz w:val="24"/>
          <w:szCs w:val="24"/>
        </w:rPr>
        <w:t xml:space="preserve">34). </w:t>
      </w:r>
      <w:r w:rsidR="00CB213D" w:rsidRPr="00AB05E0">
        <w:rPr>
          <w:sz w:val="24"/>
          <w:szCs w:val="24"/>
        </w:rPr>
        <w:t xml:space="preserve"> </w:t>
      </w:r>
      <w:r w:rsidR="00CD0A29" w:rsidRPr="00AB05E0">
        <w:rPr>
          <w:sz w:val="24"/>
          <w:szCs w:val="24"/>
        </w:rPr>
        <w:t>Toutefois</w:t>
      </w:r>
      <w:r w:rsidRPr="00AB05E0">
        <w:rPr>
          <w:sz w:val="24"/>
          <w:szCs w:val="24"/>
        </w:rPr>
        <w:t xml:space="preserve"> aujourd’hui, le pouvoir réglementaire est une notion difficile à cerner, au point</w:t>
      </w:r>
      <w:r w:rsidRPr="00AB05E0">
        <w:rPr>
          <w:spacing w:val="1"/>
          <w:sz w:val="24"/>
          <w:szCs w:val="24"/>
        </w:rPr>
        <w:t xml:space="preserve"> </w:t>
      </w:r>
      <w:r w:rsidRPr="00AB05E0">
        <w:rPr>
          <w:sz w:val="24"/>
          <w:szCs w:val="24"/>
        </w:rPr>
        <w:t>que certains auteurs évoquent même une “crise“ du pouvoir réglementaire</w:t>
      </w:r>
      <w:r w:rsidR="002E78B9" w:rsidRPr="00AB05E0">
        <w:rPr>
          <w:sz w:val="24"/>
          <w:szCs w:val="24"/>
        </w:rPr>
        <w:t xml:space="preserve"> (Bertrand Faure, AJDA, n°7-8/1998, pp. 547-552)</w:t>
      </w:r>
      <w:r w:rsidRPr="00AB05E0">
        <w:rPr>
          <w:sz w:val="24"/>
          <w:szCs w:val="24"/>
        </w:rPr>
        <w:t>. Cette situation</w:t>
      </w:r>
      <w:r w:rsidRPr="00AB05E0">
        <w:rPr>
          <w:spacing w:val="1"/>
          <w:sz w:val="24"/>
          <w:szCs w:val="24"/>
        </w:rPr>
        <w:t xml:space="preserve"> </w:t>
      </w:r>
      <w:r w:rsidR="00CD0A29" w:rsidRPr="00AB05E0">
        <w:rPr>
          <w:sz w:val="24"/>
          <w:szCs w:val="24"/>
        </w:rPr>
        <w:t xml:space="preserve">s’explique </w:t>
      </w:r>
      <w:r w:rsidRPr="00AB05E0">
        <w:rPr>
          <w:sz w:val="24"/>
          <w:szCs w:val="24"/>
        </w:rPr>
        <w:t>par la multiplication des détenteurs du pouvoir réglementaire</w:t>
      </w:r>
      <w:r w:rsidR="00CD0A29" w:rsidRPr="00AB05E0">
        <w:rPr>
          <w:sz w:val="24"/>
          <w:szCs w:val="24"/>
        </w:rPr>
        <w:t>.</w:t>
      </w:r>
      <w:r w:rsidR="00C15652" w:rsidRPr="00AB05E0">
        <w:rPr>
          <w:sz w:val="24"/>
          <w:szCs w:val="24"/>
        </w:rPr>
        <w:t xml:space="preserve"> </w:t>
      </w:r>
      <w:r w:rsidR="008E4657" w:rsidRPr="00AB05E0">
        <w:rPr>
          <w:sz w:val="24"/>
          <w:szCs w:val="24"/>
        </w:rPr>
        <w:t xml:space="preserve">Dès lors, il s’agira de répondre à la question suivante : l’unité du pouvoir réglementaire, mythe ou réalité ? </w:t>
      </w:r>
    </w:p>
    <w:p w:rsidR="001963FF" w:rsidRPr="00AB05E0" w:rsidRDefault="00126948" w:rsidP="000A1B51">
      <w:pPr>
        <w:jc w:val="both"/>
        <w:rPr>
          <w:rFonts w:cs="Times New Roman"/>
          <w:sz w:val="24"/>
          <w:szCs w:val="24"/>
        </w:rPr>
      </w:pPr>
      <w:r>
        <w:rPr>
          <w:rFonts w:cs="Times New Roman"/>
          <w:sz w:val="24"/>
          <w:szCs w:val="24"/>
        </w:rPr>
        <w:t>Se</w:t>
      </w:r>
      <w:r w:rsidR="00B00A07" w:rsidRPr="00AB05E0">
        <w:rPr>
          <w:rFonts w:cs="Times New Roman"/>
          <w:sz w:val="24"/>
          <w:szCs w:val="24"/>
        </w:rPr>
        <w:t xml:space="preserve">lon les représentations les plus souvent admises en doctrine et tirées de l’article 21 de la Constitution, l’unité du pouvoir réglementaire qui garantit la cohérence de l’ordre juridique national s’exprime tant au plan matériel  </w:t>
      </w:r>
      <w:r w:rsidR="008E4657" w:rsidRPr="00AB05E0">
        <w:rPr>
          <w:rFonts w:cs="Times New Roman"/>
          <w:sz w:val="24"/>
          <w:szCs w:val="24"/>
        </w:rPr>
        <w:t>qu’au plan organique. L</w:t>
      </w:r>
      <w:r w:rsidR="00B00A07" w:rsidRPr="00AB05E0">
        <w:rPr>
          <w:rFonts w:cs="Times New Roman"/>
          <w:sz w:val="24"/>
          <w:szCs w:val="24"/>
        </w:rPr>
        <w:t>e pouvoir réglementaire est une compétence détenue en vue d’assurer exclusivement l’exécution des lois</w:t>
      </w:r>
      <w:r w:rsidR="008E4657" w:rsidRPr="00AB05E0">
        <w:rPr>
          <w:rFonts w:cs="Times New Roman"/>
          <w:sz w:val="24"/>
          <w:szCs w:val="24"/>
        </w:rPr>
        <w:t xml:space="preserve"> </w:t>
      </w:r>
      <w:r w:rsidR="00B00A07" w:rsidRPr="00AB05E0">
        <w:rPr>
          <w:rFonts w:cs="Times New Roman"/>
          <w:sz w:val="24"/>
          <w:szCs w:val="24"/>
        </w:rPr>
        <w:t xml:space="preserve">confiée au Premier ministre. </w:t>
      </w:r>
      <w:r w:rsidR="00794152" w:rsidRPr="00AB05E0">
        <w:rPr>
          <w:rFonts w:cs="Times New Roman"/>
          <w:sz w:val="24"/>
          <w:szCs w:val="24"/>
        </w:rPr>
        <w:t>Mais dans la pratique, cette</w:t>
      </w:r>
      <w:r w:rsidR="001963FF" w:rsidRPr="00AB05E0">
        <w:rPr>
          <w:rFonts w:cs="Times New Roman"/>
          <w:sz w:val="24"/>
          <w:szCs w:val="24"/>
        </w:rPr>
        <w:t xml:space="preserve"> unité est largement contestée tant d’un point de vue organique que matérielle.</w:t>
      </w:r>
    </w:p>
    <w:p w:rsidR="007F6AD7" w:rsidRPr="00AB05E0" w:rsidRDefault="001963FF" w:rsidP="000A1B51">
      <w:pPr>
        <w:jc w:val="both"/>
        <w:rPr>
          <w:rFonts w:cs="Times New Roman"/>
          <w:b/>
          <w:sz w:val="24"/>
          <w:szCs w:val="24"/>
        </w:rPr>
      </w:pPr>
      <w:r w:rsidRPr="00AB05E0">
        <w:rPr>
          <w:rFonts w:cs="Times New Roman"/>
          <w:b/>
          <w:sz w:val="24"/>
          <w:szCs w:val="24"/>
        </w:rPr>
        <w:t xml:space="preserve">I. L’unité matérielle : l’attribution du pouvoir réglementaire en vue de l’exécution des lois </w:t>
      </w:r>
    </w:p>
    <w:p w:rsidR="00971032" w:rsidRPr="00AB05E0" w:rsidRDefault="001963FF" w:rsidP="000A1B51">
      <w:pPr>
        <w:jc w:val="both"/>
        <w:rPr>
          <w:rFonts w:cs="Times New Roman"/>
          <w:sz w:val="24"/>
          <w:szCs w:val="24"/>
        </w:rPr>
      </w:pPr>
      <w:r w:rsidRPr="00AB05E0">
        <w:rPr>
          <w:rFonts w:cs="Times New Roman"/>
          <w:sz w:val="24"/>
          <w:szCs w:val="24"/>
        </w:rPr>
        <w:t>En dépit de l’échec du pouvoir réglementaire institué en 1958</w:t>
      </w:r>
      <w:r w:rsidR="00794152" w:rsidRPr="00AB05E0">
        <w:rPr>
          <w:rFonts w:cs="Times New Roman"/>
          <w:sz w:val="24"/>
          <w:szCs w:val="24"/>
        </w:rPr>
        <w:t xml:space="preserve"> (A)</w:t>
      </w:r>
      <w:r w:rsidRPr="00AB05E0">
        <w:rPr>
          <w:rFonts w:cs="Times New Roman"/>
          <w:sz w:val="24"/>
          <w:szCs w:val="24"/>
        </w:rPr>
        <w:t xml:space="preserve">, le pouvoir réglementaire ne se réduit pas  à la simple exécution des lois mais poursuit avec l’aval de la jurisprudence des </w:t>
      </w:r>
      <w:r w:rsidR="00794152" w:rsidRPr="00AB05E0">
        <w:rPr>
          <w:rFonts w:cs="Times New Roman"/>
          <w:sz w:val="24"/>
          <w:szCs w:val="24"/>
        </w:rPr>
        <w:t xml:space="preserve">fonctions larges (B). </w:t>
      </w:r>
      <w:r w:rsidR="000233D1" w:rsidRPr="00AB05E0">
        <w:rPr>
          <w:rFonts w:cs="Times New Roman"/>
          <w:sz w:val="24"/>
          <w:szCs w:val="24"/>
        </w:rPr>
        <w:t xml:space="preserve"> </w:t>
      </w:r>
    </w:p>
    <w:p w:rsidR="005B3E69" w:rsidRPr="00AB05E0" w:rsidRDefault="005D3D72" w:rsidP="000A1B51">
      <w:pPr>
        <w:jc w:val="both"/>
        <w:rPr>
          <w:rFonts w:cs="Times New Roman"/>
          <w:b/>
          <w:sz w:val="24"/>
          <w:szCs w:val="24"/>
        </w:rPr>
      </w:pPr>
      <w:r w:rsidRPr="00AB05E0">
        <w:rPr>
          <w:rFonts w:cs="Times New Roman"/>
          <w:b/>
          <w:sz w:val="24"/>
          <w:szCs w:val="24"/>
        </w:rPr>
        <w:t xml:space="preserve">A. L’échec du pouvoir réglementaire autonome </w:t>
      </w:r>
    </w:p>
    <w:p w:rsidR="005A588E" w:rsidRPr="00AB05E0" w:rsidRDefault="00FC5BF1" w:rsidP="000A1B51">
      <w:pPr>
        <w:jc w:val="both"/>
        <w:rPr>
          <w:rFonts w:cs="Times New Roman"/>
          <w:sz w:val="24"/>
          <w:szCs w:val="24"/>
        </w:rPr>
      </w:pPr>
      <w:r w:rsidRPr="00AB05E0">
        <w:rPr>
          <w:rFonts w:cs="Times New Roman"/>
          <w:sz w:val="24"/>
          <w:szCs w:val="24"/>
        </w:rPr>
        <w:t>Contrairement à ce qui existait avant, le constituant de 1958 a conforté la place du pouvoir réglementaire. En effet,</w:t>
      </w:r>
      <w:r w:rsidR="00E12AF5" w:rsidRPr="00AB05E0">
        <w:rPr>
          <w:rFonts w:cs="Times New Roman"/>
          <w:sz w:val="24"/>
          <w:szCs w:val="24"/>
        </w:rPr>
        <w:t xml:space="preserve">  à son article 37, la Constitution a réservé  au règlement la compétence de régler </w:t>
      </w:r>
      <w:r w:rsidR="00163F2C" w:rsidRPr="00AB05E0">
        <w:rPr>
          <w:rFonts w:cs="Times New Roman"/>
          <w:sz w:val="24"/>
          <w:szCs w:val="24"/>
        </w:rPr>
        <w:t>les</w:t>
      </w:r>
      <w:r w:rsidR="00E12AF5" w:rsidRPr="00AB05E0">
        <w:rPr>
          <w:rFonts w:cs="Times New Roman"/>
          <w:sz w:val="24"/>
          <w:szCs w:val="24"/>
        </w:rPr>
        <w:t xml:space="preserve"> matières qui ne relèvent pas du champ d’action de la loi.</w:t>
      </w:r>
      <w:r w:rsidR="00163F2C" w:rsidRPr="00AB05E0">
        <w:rPr>
          <w:rFonts w:cs="Times New Roman"/>
          <w:sz w:val="24"/>
          <w:szCs w:val="24"/>
        </w:rPr>
        <w:t xml:space="preserve"> La constitution a ainsi créé une frontière entre le domaine de la loi et celui du pouvoir réglementaire</w:t>
      </w:r>
      <w:r w:rsidR="00BA6633" w:rsidRPr="00AB05E0">
        <w:rPr>
          <w:rFonts w:cs="Times New Roman"/>
          <w:sz w:val="24"/>
          <w:szCs w:val="24"/>
        </w:rPr>
        <w:t xml:space="preserve">. En principe, l’un ne doit pas </w:t>
      </w:r>
      <w:r w:rsidR="00020744" w:rsidRPr="00AB05E0">
        <w:rPr>
          <w:rFonts w:cs="Times New Roman"/>
          <w:sz w:val="24"/>
          <w:szCs w:val="24"/>
        </w:rPr>
        <w:t xml:space="preserve"> </w:t>
      </w:r>
      <w:r w:rsidR="00BA6633" w:rsidRPr="00AB05E0">
        <w:rPr>
          <w:rFonts w:cs="Times New Roman"/>
          <w:sz w:val="24"/>
          <w:szCs w:val="24"/>
        </w:rPr>
        <w:t xml:space="preserve">empiéter sur l’autre. Pour s’assurer de l’effectivité du pouvoir réglementaire,  </w:t>
      </w:r>
      <w:r w:rsidR="00A67675" w:rsidRPr="00AB05E0">
        <w:rPr>
          <w:rFonts w:cs="Times New Roman"/>
          <w:sz w:val="24"/>
          <w:szCs w:val="24"/>
        </w:rPr>
        <w:t xml:space="preserve">la Constitution a prévu deux mécanismes de protection. L’un résulte de de l’article 41 de la Constitution qui permet au gouvernement de faire échec à tout amendement ou à toute proposition de loi qui concerne le domaine réglementaire. </w:t>
      </w:r>
      <w:r w:rsidR="00AF5F58" w:rsidRPr="00AB05E0">
        <w:rPr>
          <w:rFonts w:cs="Times New Roman"/>
          <w:sz w:val="24"/>
          <w:szCs w:val="24"/>
        </w:rPr>
        <w:t xml:space="preserve">En outre, </w:t>
      </w:r>
      <w:r w:rsidR="006631DC" w:rsidRPr="00AB05E0">
        <w:rPr>
          <w:rFonts w:cs="Times New Roman"/>
          <w:sz w:val="24"/>
          <w:szCs w:val="24"/>
        </w:rPr>
        <w:t xml:space="preserve">sur le fondement de l’article 37, le gouvernement peut </w:t>
      </w:r>
      <w:r w:rsidR="00C06597" w:rsidRPr="00AB05E0">
        <w:rPr>
          <w:rFonts w:cs="Times New Roman"/>
          <w:sz w:val="24"/>
          <w:szCs w:val="24"/>
        </w:rPr>
        <w:t>modifier par décret une loi qui est intervenue dans le domaine réglementaire sur autorisation du Conseil constitutionnel.</w:t>
      </w:r>
      <w:r w:rsidR="005A588E" w:rsidRPr="00AB05E0">
        <w:rPr>
          <w:rFonts w:cs="Times New Roman"/>
          <w:sz w:val="24"/>
          <w:szCs w:val="24"/>
        </w:rPr>
        <w:t xml:space="preserve"> </w:t>
      </w:r>
    </w:p>
    <w:p w:rsidR="00E12AF5" w:rsidRPr="00AB05E0" w:rsidRDefault="005A588E" w:rsidP="000A1B51">
      <w:pPr>
        <w:jc w:val="both"/>
        <w:rPr>
          <w:rFonts w:cs="Times New Roman"/>
          <w:sz w:val="24"/>
          <w:szCs w:val="24"/>
        </w:rPr>
      </w:pPr>
      <w:r w:rsidRPr="00AB05E0">
        <w:rPr>
          <w:rFonts w:cs="Times New Roman"/>
          <w:sz w:val="24"/>
          <w:szCs w:val="24"/>
        </w:rPr>
        <w:t>Nonobstant la consécration et la protection constitutionnelle du pouvoir réglementaire, son exercice est subordonné</w:t>
      </w:r>
      <w:r w:rsidR="00C06597" w:rsidRPr="00AB05E0">
        <w:rPr>
          <w:rFonts w:cs="Times New Roman"/>
          <w:sz w:val="24"/>
          <w:szCs w:val="24"/>
        </w:rPr>
        <w:t xml:space="preserve"> </w:t>
      </w:r>
      <w:r w:rsidR="00101D48" w:rsidRPr="00AB05E0">
        <w:rPr>
          <w:rFonts w:cs="Times New Roman"/>
          <w:sz w:val="24"/>
          <w:szCs w:val="24"/>
        </w:rPr>
        <w:t>au respect de la loi. En outre, la pratique a conduit à limiter considérablement le poids du pouvoir réglementaire par rapport à la loi. Cette pratique a été  réconfortée par  la jurisprudence du Conseil constitutionnelle qui  a interprétée de façon  libérale de l’article 34 de la Constitution. Ainsi, dans sa décision</w:t>
      </w:r>
      <w:r w:rsidR="000B4A5D" w:rsidRPr="00AB05E0">
        <w:rPr>
          <w:rFonts w:cs="Times New Roman"/>
          <w:sz w:val="24"/>
          <w:szCs w:val="24"/>
        </w:rPr>
        <w:t xml:space="preserve"> du 30 juillet 1982, ‘’Blocage </w:t>
      </w:r>
      <w:r w:rsidR="000B4A5D" w:rsidRPr="00AB05E0">
        <w:rPr>
          <w:rFonts w:cs="Times New Roman"/>
          <w:sz w:val="24"/>
          <w:szCs w:val="24"/>
        </w:rPr>
        <w:lastRenderedPageBreak/>
        <w:t xml:space="preserve">des prix et salaires’’ le conseil constitutionnel avait admis les empiètements de la loi sur le domaine réglementaire. </w:t>
      </w:r>
    </w:p>
    <w:p w:rsidR="00A57F28" w:rsidRPr="00AB05E0" w:rsidRDefault="00DE39BD" w:rsidP="000A1B51">
      <w:pPr>
        <w:jc w:val="both"/>
        <w:rPr>
          <w:rFonts w:cs="Times New Roman"/>
          <w:sz w:val="24"/>
          <w:szCs w:val="24"/>
        </w:rPr>
      </w:pPr>
      <w:r w:rsidRPr="00AB05E0">
        <w:rPr>
          <w:rFonts w:cs="Times New Roman"/>
          <w:sz w:val="24"/>
          <w:szCs w:val="24"/>
        </w:rPr>
        <w:t xml:space="preserve">Par ailleurs, le Président de la République peut en dehors de toute habilitation législative et en vertu de ses propres pouvoirs, prendre des mesures de police applicables dans l’ensemble du territoire national. </w:t>
      </w:r>
      <w:r w:rsidR="00126948">
        <w:rPr>
          <w:rFonts w:cs="Times New Roman"/>
          <w:sz w:val="24"/>
          <w:szCs w:val="24"/>
        </w:rPr>
        <w:t>Cette</w:t>
      </w:r>
      <w:r w:rsidR="006240D2" w:rsidRPr="00AB05E0">
        <w:rPr>
          <w:rFonts w:cs="Times New Roman"/>
          <w:sz w:val="24"/>
          <w:szCs w:val="24"/>
        </w:rPr>
        <w:t xml:space="preserve"> </w:t>
      </w:r>
      <w:r w:rsidRPr="00AB05E0">
        <w:rPr>
          <w:rFonts w:cs="Times New Roman"/>
          <w:sz w:val="24"/>
          <w:szCs w:val="24"/>
        </w:rPr>
        <w:t xml:space="preserve">exception au monopole du pouvoir réglementaire du Premier ministre </w:t>
      </w:r>
      <w:r w:rsidR="00126948">
        <w:rPr>
          <w:rFonts w:cs="Times New Roman"/>
          <w:sz w:val="24"/>
          <w:szCs w:val="24"/>
        </w:rPr>
        <w:t>découle</w:t>
      </w:r>
      <w:r w:rsidRPr="00AB05E0">
        <w:rPr>
          <w:rFonts w:cs="Times New Roman"/>
          <w:sz w:val="24"/>
          <w:szCs w:val="24"/>
        </w:rPr>
        <w:t xml:space="preserve"> de la décision   </w:t>
      </w:r>
      <w:proofErr w:type="spellStart"/>
      <w:r w:rsidR="00120CFF" w:rsidRPr="00AB05E0">
        <w:rPr>
          <w:rFonts w:cs="Times New Roman"/>
          <w:sz w:val="24"/>
          <w:szCs w:val="24"/>
        </w:rPr>
        <w:t>Labonne</w:t>
      </w:r>
      <w:proofErr w:type="spellEnd"/>
      <w:r w:rsidRPr="00AB05E0">
        <w:rPr>
          <w:rFonts w:cs="Times New Roman"/>
          <w:sz w:val="24"/>
          <w:szCs w:val="24"/>
        </w:rPr>
        <w:t xml:space="preserve"> rendu</w:t>
      </w:r>
      <w:r w:rsidR="00126948">
        <w:rPr>
          <w:rFonts w:cs="Times New Roman"/>
          <w:sz w:val="24"/>
          <w:szCs w:val="24"/>
        </w:rPr>
        <w:t>e</w:t>
      </w:r>
      <w:r w:rsidRPr="00AB05E0">
        <w:rPr>
          <w:rFonts w:cs="Times New Roman"/>
          <w:sz w:val="24"/>
          <w:szCs w:val="24"/>
        </w:rPr>
        <w:t xml:space="preserve"> par le Conseil d’Etat en 1919.</w:t>
      </w:r>
      <w:r w:rsidR="006240D2" w:rsidRPr="00AB05E0">
        <w:rPr>
          <w:rFonts w:cs="Times New Roman"/>
          <w:sz w:val="24"/>
          <w:szCs w:val="24"/>
        </w:rPr>
        <w:t xml:space="preserve"> Cette jurisprudence rendue sous la IIIe République est toujours maintenue. Ainsi, en cas des circonstances exceptionnelles, l’article 16 de la Constitution de 1958 confère au Président de la République le pouvoir de prendre des mesures qui s’appliquent sur toute l’étendue du territoire. Même si le Premier ministre est le titulaire du pouvoir réglementaire, </w:t>
      </w:r>
      <w:r w:rsidR="00057021" w:rsidRPr="00AB05E0">
        <w:rPr>
          <w:rFonts w:cs="Times New Roman"/>
          <w:sz w:val="24"/>
          <w:szCs w:val="24"/>
        </w:rPr>
        <w:t xml:space="preserve">dans certaines matières son pouvoir est </w:t>
      </w:r>
      <w:r w:rsidR="00A57F28" w:rsidRPr="00AB05E0">
        <w:rPr>
          <w:rFonts w:cs="Times New Roman"/>
          <w:sz w:val="24"/>
          <w:szCs w:val="24"/>
        </w:rPr>
        <w:t xml:space="preserve">résiduel et </w:t>
      </w:r>
      <w:r w:rsidR="006240D2" w:rsidRPr="00AB05E0">
        <w:rPr>
          <w:rFonts w:cs="Times New Roman"/>
          <w:sz w:val="24"/>
          <w:szCs w:val="24"/>
        </w:rPr>
        <w:t>doit respecter les pouvoirs propres du Président de la République.</w:t>
      </w:r>
      <w:r w:rsidR="00057021" w:rsidRPr="00AB05E0">
        <w:rPr>
          <w:rFonts w:cs="Times New Roman"/>
          <w:sz w:val="24"/>
          <w:szCs w:val="24"/>
        </w:rPr>
        <w:t xml:space="preserve"> </w:t>
      </w:r>
    </w:p>
    <w:p w:rsidR="005D3D72" w:rsidRPr="00AB05E0" w:rsidRDefault="005D3D72" w:rsidP="000A1B51">
      <w:pPr>
        <w:jc w:val="both"/>
        <w:rPr>
          <w:rFonts w:cs="Times New Roman"/>
          <w:b/>
          <w:sz w:val="24"/>
          <w:szCs w:val="24"/>
        </w:rPr>
      </w:pPr>
      <w:r w:rsidRPr="00AB05E0">
        <w:rPr>
          <w:rFonts w:cs="Times New Roman"/>
          <w:b/>
          <w:sz w:val="24"/>
          <w:szCs w:val="24"/>
        </w:rPr>
        <w:t>B.</w:t>
      </w:r>
      <w:r w:rsidR="00A57F28" w:rsidRPr="00AB05E0">
        <w:rPr>
          <w:rFonts w:cs="Times New Roman"/>
          <w:b/>
          <w:sz w:val="24"/>
          <w:szCs w:val="24"/>
        </w:rPr>
        <w:t xml:space="preserve"> </w:t>
      </w:r>
      <w:r w:rsidRPr="00AB05E0">
        <w:rPr>
          <w:rFonts w:cs="Times New Roman"/>
          <w:b/>
          <w:sz w:val="24"/>
          <w:szCs w:val="24"/>
        </w:rPr>
        <w:t>Le dépassement de la fonction d’exécution des lois</w:t>
      </w:r>
    </w:p>
    <w:p w:rsidR="00D84F1F" w:rsidRPr="00AB05E0" w:rsidRDefault="00D84F1F" w:rsidP="00D84F1F">
      <w:pPr>
        <w:jc w:val="both"/>
        <w:rPr>
          <w:rFonts w:cs="Times New Roman"/>
          <w:sz w:val="24"/>
          <w:szCs w:val="24"/>
        </w:rPr>
      </w:pPr>
      <w:r w:rsidRPr="00AB05E0">
        <w:rPr>
          <w:rFonts w:cs="Times New Roman"/>
          <w:sz w:val="24"/>
          <w:szCs w:val="24"/>
        </w:rPr>
        <w:t>1. conception large de la notion d’exécution</w:t>
      </w:r>
    </w:p>
    <w:p w:rsidR="00D84F1F" w:rsidRPr="00AB05E0" w:rsidRDefault="00EE28EC" w:rsidP="000A1B51">
      <w:pPr>
        <w:jc w:val="both"/>
        <w:rPr>
          <w:rFonts w:cs="Times New Roman"/>
          <w:sz w:val="24"/>
          <w:szCs w:val="24"/>
        </w:rPr>
      </w:pPr>
      <w:r w:rsidRPr="00AB05E0">
        <w:rPr>
          <w:rFonts w:cs="Times New Roman"/>
          <w:sz w:val="24"/>
          <w:szCs w:val="24"/>
        </w:rPr>
        <w:t>Selon l’esprit de l’article 34 de la constitution,  l’existence  du pouvoir  réglementaire est corrélative   l’applica</w:t>
      </w:r>
      <w:r w:rsidR="004A5079" w:rsidRPr="00AB05E0">
        <w:rPr>
          <w:rFonts w:cs="Times New Roman"/>
          <w:sz w:val="24"/>
          <w:szCs w:val="24"/>
        </w:rPr>
        <w:t xml:space="preserve">tion ou à l’exécution de la loi. </w:t>
      </w:r>
      <w:r w:rsidRPr="00AB05E0">
        <w:rPr>
          <w:rFonts w:cs="Times New Roman"/>
          <w:sz w:val="24"/>
          <w:szCs w:val="24"/>
        </w:rPr>
        <w:t xml:space="preserve"> </w:t>
      </w:r>
      <w:r w:rsidR="004A5079" w:rsidRPr="00AB05E0">
        <w:rPr>
          <w:rFonts w:cs="Times New Roman"/>
          <w:sz w:val="24"/>
          <w:szCs w:val="24"/>
        </w:rPr>
        <w:t xml:space="preserve">C’est une conception restrictive du pouvoir  réglementaire. Toutefois, la jurisprudence administrative a permis l’élargissement de mission d’exécution des lois. </w:t>
      </w:r>
      <w:r w:rsidR="006700EE" w:rsidRPr="00AB05E0">
        <w:rPr>
          <w:rFonts w:cs="Times New Roman"/>
          <w:sz w:val="24"/>
          <w:szCs w:val="24"/>
        </w:rPr>
        <w:t xml:space="preserve">Pour exemple, alors que la loi n’autorisait le gouvernement qu’ contrôler les importations pétrolières, il pouvait arrêter  d’autres mesures en vue de régler  l’installation et l’extension des stations-service (CE 1964,  Sté des pétroles Shell-Berne). </w:t>
      </w:r>
      <w:r w:rsidR="008A2880" w:rsidRPr="00AB05E0">
        <w:rPr>
          <w:rFonts w:cs="Times New Roman"/>
          <w:sz w:val="24"/>
          <w:szCs w:val="24"/>
        </w:rPr>
        <w:t xml:space="preserve">De même, les CT pouvaient prendre en charge une activité marchande en complément de leurs missions principales. Ainsi, une commune pouvait aménager le parc municipal de stationnement (CE, 1959, Delansorme). </w:t>
      </w:r>
      <w:r w:rsidR="00D84F1F" w:rsidRPr="00AB05E0">
        <w:rPr>
          <w:rFonts w:cs="Times New Roman"/>
          <w:sz w:val="24"/>
          <w:szCs w:val="24"/>
        </w:rPr>
        <w:t>L</w:t>
      </w:r>
      <w:r w:rsidR="002335C0" w:rsidRPr="00AB05E0">
        <w:rPr>
          <w:rFonts w:cs="Times New Roman"/>
          <w:sz w:val="24"/>
          <w:szCs w:val="24"/>
        </w:rPr>
        <w:t>’</w:t>
      </w:r>
      <w:r w:rsidR="00D84F1F" w:rsidRPr="00AB05E0">
        <w:rPr>
          <w:rFonts w:cs="Times New Roman"/>
          <w:sz w:val="24"/>
          <w:szCs w:val="24"/>
        </w:rPr>
        <w:t xml:space="preserve">exécution des lois va au-delà de la simple  </w:t>
      </w:r>
      <w:r w:rsidR="002335C0" w:rsidRPr="00AB05E0">
        <w:rPr>
          <w:rFonts w:cs="Times New Roman"/>
          <w:sz w:val="24"/>
          <w:szCs w:val="24"/>
        </w:rPr>
        <w:t>d’exécution</w:t>
      </w:r>
      <w:r w:rsidR="00D84F1F" w:rsidRPr="00AB05E0">
        <w:rPr>
          <w:rFonts w:cs="Times New Roman"/>
          <w:sz w:val="24"/>
          <w:szCs w:val="24"/>
        </w:rPr>
        <w:t xml:space="preserve">. En vue d’assurer le maintien </w:t>
      </w:r>
      <w:r w:rsidR="002335C0" w:rsidRPr="00AB05E0">
        <w:rPr>
          <w:rFonts w:cs="Times New Roman"/>
          <w:sz w:val="24"/>
          <w:szCs w:val="24"/>
        </w:rPr>
        <w:t xml:space="preserve"> de l’ordre public et au bon fonct</w:t>
      </w:r>
      <w:r w:rsidR="00D84F1F" w:rsidRPr="00AB05E0">
        <w:rPr>
          <w:rFonts w:cs="Times New Roman"/>
          <w:sz w:val="24"/>
          <w:szCs w:val="24"/>
        </w:rPr>
        <w:t>ionnement des services publics, l’autorité réglementaire peut prendre d’autres initiatives (voir CE 1936, Jamart et 1950, Dehaene :   reconnaissance des pouvoirs des ministres et des chefs des services des possibilités d’organisation et de fonctionnement de leurs services).</w:t>
      </w:r>
      <w:r w:rsidR="0077119E" w:rsidRPr="00AB05E0">
        <w:rPr>
          <w:rFonts w:cs="Times New Roman"/>
          <w:sz w:val="24"/>
          <w:szCs w:val="24"/>
        </w:rPr>
        <w:t xml:space="preserve"> Le dépassement de la fonction d’exécution est accentué par la théorie des pouvoirs implicites </w:t>
      </w:r>
    </w:p>
    <w:p w:rsidR="00FA1DC5" w:rsidRPr="00AB05E0" w:rsidRDefault="00B440CE" w:rsidP="000A1B51">
      <w:pPr>
        <w:jc w:val="both"/>
        <w:rPr>
          <w:rFonts w:cs="Times New Roman"/>
          <w:sz w:val="24"/>
          <w:szCs w:val="24"/>
        </w:rPr>
      </w:pPr>
      <w:r w:rsidRPr="00AB05E0">
        <w:rPr>
          <w:rFonts w:cs="Times New Roman"/>
          <w:sz w:val="24"/>
          <w:szCs w:val="24"/>
        </w:rPr>
        <w:t xml:space="preserve">2. </w:t>
      </w:r>
      <w:r w:rsidR="00D84F1F" w:rsidRPr="00AB05E0">
        <w:rPr>
          <w:rFonts w:cs="Times New Roman"/>
          <w:sz w:val="24"/>
          <w:szCs w:val="24"/>
        </w:rPr>
        <w:t>La t</w:t>
      </w:r>
      <w:r w:rsidRPr="00AB05E0">
        <w:rPr>
          <w:rFonts w:cs="Times New Roman"/>
          <w:sz w:val="24"/>
          <w:szCs w:val="24"/>
        </w:rPr>
        <w:t>héorie des pouvoirs impl</w:t>
      </w:r>
      <w:r w:rsidR="00A57F28" w:rsidRPr="00AB05E0">
        <w:rPr>
          <w:rFonts w:cs="Times New Roman"/>
          <w:sz w:val="24"/>
          <w:szCs w:val="24"/>
        </w:rPr>
        <w:t xml:space="preserve">icites </w:t>
      </w:r>
    </w:p>
    <w:p w:rsidR="00CB3F4B" w:rsidRPr="00AB05E0" w:rsidRDefault="008726CA" w:rsidP="000A1B51">
      <w:pPr>
        <w:jc w:val="both"/>
        <w:rPr>
          <w:rFonts w:cs="Times New Roman"/>
          <w:sz w:val="24"/>
          <w:szCs w:val="24"/>
        </w:rPr>
      </w:pPr>
      <w:r w:rsidRPr="00AB05E0">
        <w:rPr>
          <w:rFonts w:cs="Times New Roman"/>
          <w:sz w:val="24"/>
          <w:szCs w:val="24"/>
        </w:rPr>
        <w:t>C’est une création jurisprudentielle qui permet</w:t>
      </w:r>
      <w:r w:rsidR="00A0513C" w:rsidRPr="00AB05E0">
        <w:rPr>
          <w:rFonts w:cs="Times New Roman"/>
          <w:sz w:val="24"/>
          <w:szCs w:val="24"/>
        </w:rPr>
        <w:t xml:space="preserve"> aux autorités réglementaires d’agir au-delà des strictes limites de la loi d’</w:t>
      </w:r>
      <w:r w:rsidR="000A7FC1" w:rsidRPr="00AB05E0">
        <w:rPr>
          <w:rFonts w:cs="Times New Roman"/>
          <w:sz w:val="24"/>
          <w:szCs w:val="24"/>
        </w:rPr>
        <w:t xml:space="preserve">habilitation pour vue que les droits des administrés soient respectés. </w:t>
      </w:r>
      <w:r w:rsidRPr="00AB05E0">
        <w:rPr>
          <w:rFonts w:cs="Times New Roman"/>
          <w:sz w:val="24"/>
          <w:szCs w:val="24"/>
        </w:rPr>
        <w:t xml:space="preserve">C’est la manifestation d’un pouvoir non prévu explicitement par le texte mais qui apparaît utile à la mise en œuvre  effective de la loi. L’arrêt Labonne constitue une fois de plus une belle illustration qui  a autorisé au Président de la République d’intervenir en l’absence de toute habilitation législative. </w:t>
      </w:r>
      <w:r w:rsidR="002E781F">
        <w:rPr>
          <w:rFonts w:cs="Times New Roman"/>
          <w:sz w:val="24"/>
          <w:szCs w:val="24"/>
        </w:rPr>
        <w:t xml:space="preserve">La contestation de l’unité du pouvoir réglementaire </w:t>
      </w:r>
      <w:r w:rsidR="0071702E">
        <w:rPr>
          <w:rFonts w:cs="Times New Roman"/>
          <w:sz w:val="24"/>
          <w:szCs w:val="24"/>
        </w:rPr>
        <w:t xml:space="preserve">ne se limite pas à l’aspect matériel, elle affecte aussi l’unité  organique de ce pouvoir. </w:t>
      </w:r>
      <w:bookmarkStart w:id="0" w:name="_GoBack"/>
      <w:bookmarkEnd w:id="0"/>
    </w:p>
    <w:p w:rsidR="00E95783" w:rsidRPr="00AB05E0" w:rsidRDefault="00E95783" w:rsidP="000A1B51">
      <w:pPr>
        <w:jc w:val="both"/>
        <w:rPr>
          <w:rFonts w:cs="Times New Roman"/>
          <w:b/>
          <w:sz w:val="24"/>
          <w:szCs w:val="24"/>
        </w:rPr>
      </w:pPr>
    </w:p>
    <w:p w:rsidR="002E781F" w:rsidRDefault="002E781F" w:rsidP="000A1B51">
      <w:pPr>
        <w:jc w:val="both"/>
        <w:rPr>
          <w:rFonts w:cs="Times New Roman"/>
          <w:b/>
          <w:sz w:val="24"/>
          <w:szCs w:val="24"/>
        </w:rPr>
      </w:pPr>
    </w:p>
    <w:p w:rsidR="00B440CE" w:rsidRPr="00AB05E0" w:rsidRDefault="00B440CE" w:rsidP="000A1B51">
      <w:pPr>
        <w:jc w:val="both"/>
        <w:rPr>
          <w:rFonts w:cs="Times New Roman"/>
          <w:b/>
          <w:sz w:val="24"/>
          <w:szCs w:val="24"/>
        </w:rPr>
      </w:pPr>
      <w:r w:rsidRPr="00AB05E0">
        <w:rPr>
          <w:rFonts w:cs="Times New Roman"/>
          <w:b/>
          <w:sz w:val="24"/>
          <w:szCs w:val="24"/>
        </w:rPr>
        <w:t>II. L’unité organique : le monopole du Premier ministre</w:t>
      </w:r>
    </w:p>
    <w:p w:rsidR="00B440CE" w:rsidRPr="00AB05E0" w:rsidRDefault="00B440CE" w:rsidP="000A1B51">
      <w:pPr>
        <w:jc w:val="both"/>
        <w:rPr>
          <w:rFonts w:cs="Times New Roman"/>
          <w:sz w:val="24"/>
          <w:szCs w:val="24"/>
        </w:rPr>
      </w:pPr>
      <w:r w:rsidRPr="00AB05E0">
        <w:rPr>
          <w:rFonts w:cs="Times New Roman"/>
          <w:sz w:val="24"/>
          <w:szCs w:val="24"/>
        </w:rPr>
        <w:t>Si le monopole du Premier ministre est contesté au sein de l’exécutif</w:t>
      </w:r>
      <w:r w:rsidR="008D4B71" w:rsidRPr="00AB05E0">
        <w:rPr>
          <w:rFonts w:cs="Times New Roman"/>
          <w:sz w:val="24"/>
          <w:szCs w:val="24"/>
        </w:rPr>
        <w:t xml:space="preserve"> (A)</w:t>
      </w:r>
      <w:r w:rsidRPr="00AB05E0">
        <w:rPr>
          <w:rFonts w:cs="Times New Roman"/>
          <w:sz w:val="24"/>
          <w:szCs w:val="24"/>
        </w:rPr>
        <w:t>, sa primauté est maintenue à l’égard des autorités secondaires</w:t>
      </w:r>
      <w:r w:rsidR="008D4B71" w:rsidRPr="00AB05E0">
        <w:rPr>
          <w:rFonts w:cs="Times New Roman"/>
          <w:sz w:val="24"/>
          <w:szCs w:val="24"/>
        </w:rPr>
        <w:t xml:space="preserve"> (B)</w:t>
      </w:r>
      <w:r w:rsidRPr="00AB05E0">
        <w:rPr>
          <w:rFonts w:cs="Times New Roman"/>
          <w:sz w:val="24"/>
          <w:szCs w:val="24"/>
        </w:rPr>
        <w:t>.</w:t>
      </w:r>
    </w:p>
    <w:p w:rsidR="00186F68" w:rsidRPr="00AB05E0" w:rsidRDefault="00B440CE" w:rsidP="000A1B51">
      <w:pPr>
        <w:jc w:val="both"/>
        <w:rPr>
          <w:rFonts w:cs="Times New Roman"/>
          <w:b/>
          <w:sz w:val="24"/>
          <w:szCs w:val="24"/>
        </w:rPr>
      </w:pPr>
      <w:r w:rsidRPr="00AB05E0">
        <w:rPr>
          <w:rFonts w:cs="Times New Roman"/>
          <w:b/>
          <w:sz w:val="24"/>
          <w:szCs w:val="24"/>
        </w:rPr>
        <w:t>A. La contestation du monopole du Premier ministre au sein</w:t>
      </w:r>
      <w:r w:rsidR="006D0981" w:rsidRPr="00AB05E0">
        <w:rPr>
          <w:rFonts w:cs="Times New Roman"/>
          <w:b/>
          <w:sz w:val="24"/>
          <w:szCs w:val="24"/>
        </w:rPr>
        <w:t xml:space="preserve"> du pouvoir exécutif</w:t>
      </w:r>
    </w:p>
    <w:p w:rsidR="00673453" w:rsidRPr="00AB05E0" w:rsidRDefault="000C4A7F" w:rsidP="000A1B51">
      <w:pPr>
        <w:jc w:val="both"/>
        <w:rPr>
          <w:rFonts w:cs="Times New Roman"/>
          <w:b/>
          <w:sz w:val="24"/>
          <w:szCs w:val="24"/>
        </w:rPr>
      </w:pPr>
      <w:r w:rsidRPr="00AB05E0">
        <w:rPr>
          <w:rFonts w:cs="Times New Roman"/>
          <w:sz w:val="24"/>
          <w:szCs w:val="24"/>
        </w:rPr>
        <w:t xml:space="preserve">La constitution protège le monopole du pouvoir réglementaire du Premier ministre. </w:t>
      </w:r>
      <w:r w:rsidR="00266034" w:rsidRPr="00AB05E0">
        <w:rPr>
          <w:rFonts w:cs="Times New Roman"/>
          <w:sz w:val="24"/>
          <w:szCs w:val="24"/>
        </w:rPr>
        <w:t>Toutefois, ce monopole est  souvent confronté aux prérogatives du Président de la République voire des ministres. Ainsi, le pouvo</w:t>
      </w:r>
      <w:r w:rsidR="00135183" w:rsidRPr="00AB05E0">
        <w:rPr>
          <w:rFonts w:cs="Times New Roman"/>
          <w:sz w:val="24"/>
          <w:szCs w:val="24"/>
        </w:rPr>
        <w:t>ir réglementaire est partagé</w:t>
      </w:r>
      <w:r w:rsidR="00266034" w:rsidRPr="00AB05E0">
        <w:rPr>
          <w:rFonts w:cs="Times New Roman"/>
          <w:sz w:val="24"/>
          <w:szCs w:val="24"/>
        </w:rPr>
        <w:t xml:space="preserve"> en</w:t>
      </w:r>
      <w:r w:rsidR="00673453" w:rsidRPr="00AB05E0">
        <w:rPr>
          <w:rFonts w:cs="Times New Roman"/>
          <w:sz w:val="24"/>
          <w:szCs w:val="24"/>
        </w:rPr>
        <w:t>tre ces différentes autorités.</w:t>
      </w:r>
    </w:p>
    <w:p w:rsidR="00135183" w:rsidRPr="00AB05E0" w:rsidRDefault="008A3EA4" w:rsidP="000A1B51">
      <w:pPr>
        <w:jc w:val="both"/>
        <w:rPr>
          <w:rFonts w:cs="Times New Roman"/>
          <w:sz w:val="24"/>
          <w:szCs w:val="24"/>
        </w:rPr>
      </w:pPr>
      <w:r w:rsidRPr="00AB05E0">
        <w:rPr>
          <w:rFonts w:cs="Times New Roman"/>
          <w:sz w:val="24"/>
          <w:szCs w:val="24"/>
        </w:rPr>
        <w:t>À son  alinéa 1, l</w:t>
      </w:r>
      <w:r w:rsidR="000C4A7F" w:rsidRPr="00AB05E0">
        <w:rPr>
          <w:rFonts w:cs="Times New Roman"/>
          <w:sz w:val="24"/>
          <w:szCs w:val="24"/>
        </w:rPr>
        <w:t>’article 21 de la Constitution consacre   le monopole du  réglementaire du Premier ministre</w:t>
      </w:r>
      <w:r w:rsidRPr="00AB05E0">
        <w:rPr>
          <w:rFonts w:cs="Times New Roman"/>
          <w:sz w:val="24"/>
          <w:szCs w:val="24"/>
        </w:rPr>
        <w:t>. En vue d’assurer la supériorité de  l’implementation de ce pouvoir, l’alinéa 2 de cette disposition interdit aux les ministres d’exercer le pouvoir réglementaire en</w:t>
      </w:r>
      <w:r w:rsidR="006422FC" w:rsidRPr="00AB05E0">
        <w:rPr>
          <w:rFonts w:cs="Times New Roman"/>
          <w:sz w:val="24"/>
          <w:szCs w:val="24"/>
        </w:rPr>
        <w:t xml:space="preserve"> </w:t>
      </w:r>
      <w:r w:rsidR="006D0981" w:rsidRPr="00AB05E0">
        <w:rPr>
          <w:rFonts w:cs="Times New Roman"/>
          <w:sz w:val="24"/>
          <w:szCs w:val="24"/>
        </w:rPr>
        <w:t>l’absence d’habilitation législative précise</w:t>
      </w:r>
      <w:r w:rsidRPr="00AB05E0">
        <w:rPr>
          <w:rFonts w:cs="Times New Roman"/>
          <w:sz w:val="24"/>
          <w:szCs w:val="24"/>
        </w:rPr>
        <w:t xml:space="preserve">. </w:t>
      </w:r>
      <w:r w:rsidR="00806A4C" w:rsidRPr="00AB05E0">
        <w:rPr>
          <w:rFonts w:cs="Times New Roman"/>
          <w:sz w:val="24"/>
          <w:szCs w:val="24"/>
        </w:rPr>
        <w:t>C’est en considération de cette disposition que le  Conseil d’État a expressément  refusé  d’admettre le pouvoir réglementaire général des ministres dans son arrêt Sté Distillerie Brabant de 1969</w:t>
      </w:r>
      <w:r w:rsidR="003F76CD" w:rsidRPr="00AB05E0">
        <w:rPr>
          <w:rFonts w:cs="Times New Roman"/>
          <w:sz w:val="24"/>
          <w:szCs w:val="24"/>
        </w:rPr>
        <w:t xml:space="preserve">. En dehors de la qualité de chef de service, </w:t>
      </w:r>
      <w:r w:rsidR="00E60EDC" w:rsidRPr="00AB05E0">
        <w:rPr>
          <w:rFonts w:cs="Times New Roman"/>
          <w:sz w:val="24"/>
          <w:szCs w:val="24"/>
        </w:rPr>
        <w:t xml:space="preserve">la Constitution de 1958 n’attribue </w:t>
      </w:r>
      <w:r w:rsidR="00007291" w:rsidRPr="00AB05E0">
        <w:rPr>
          <w:rFonts w:cs="Times New Roman"/>
          <w:sz w:val="24"/>
          <w:szCs w:val="24"/>
        </w:rPr>
        <w:t>auc</w:t>
      </w:r>
      <w:r w:rsidR="00E60EDC" w:rsidRPr="00AB05E0">
        <w:rPr>
          <w:rFonts w:cs="Times New Roman"/>
          <w:sz w:val="24"/>
          <w:szCs w:val="24"/>
        </w:rPr>
        <w:t xml:space="preserve">un pouvoir réglementaire général </w:t>
      </w:r>
      <w:r w:rsidR="00217EF1" w:rsidRPr="00AB05E0">
        <w:rPr>
          <w:rFonts w:cs="Times New Roman"/>
          <w:sz w:val="24"/>
          <w:szCs w:val="24"/>
        </w:rPr>
        <w:t>qu’au</w:t>
      </w:r>
      <w:r w:rsidR="00E60EDC" w:rsidRPr="00AB05E0">
        <w:rPr>
          <w:rFonts w:cs="Times New Roman"/>
          <w:sz w:val="24"/>
          <w:szCs w:val="24"/>
        </w:rPr>
        <w:t xml:space="preserve"> Premier ministre. </w:t>
      </w:r>
    </w:p>
    <w:p w:rsidR="001C588D" w:rsidRPr="00AB05E0" w:rsidRDefault="00405219" w:rsidP="000A1B51">
      <w:pPr>
        <w:jc w:val="both"/>
        <w:rPr>
          <w:rFonts w:cs="Times New Roman"/>
          <w:sz w:val="24"/>
          <w:szCs w:val="24"/>
        </w:rPr>
      </w:pPr>
      <w:r w:rsidRPr="00AB05E0">
        <w:rPr>
          <w:rFonts w:cs="Times New Roman"/>
          <w:sz w:val="24"/>
          <w:szCs w:val="24"/>
        </w:rPr>
        <w:t xml:space="preserve">Par ailleurs,  </w:t>
      </w:r>
      <w:r w:rsidR="00135183" w:rsidRPr="00AB05E0">
        <w:rPr>
          <w:rFonts w:cs="Times New Roman"/>
          <w:sz w:val="24"/>
          <w:szCs w:val="24"/>
        </w:rPr>
        <w:t>s</w:t>
      </w:r>
      <w:r w:rsidR="006717CD" w:rsidRPr="00AB05E0">
        <w:rPr>
          <w:rFonts w:cs="Times New Roman"/>
          <w:sz w:val="24"/>
          <w:szCs w:val="24"/>
        </w:rPr>
        <w:t xml:space="preserve">i l’article 21 de la Constitution reconnaît au  Premier ministre </w:t>
      </w:r>
      <w:r w:rsidR="002D1563" w:rsidRPr="00AB05E0">
        <w:rPr>
          <w:rFonts w:cs="Times New Roman"/>
          <w:sz w:val="24"/>
          <w:szCs w:val="24"/>
        </w:rPr>
        <w:t>la plénitude du pouvoir réglementaire,  son exercice  ne doit   pas empêcher au   Président de la République de mettre en œuvre le pouvoir que lui confère l’article 13 de la Constitution. En effet, en vertu de cet article,</w:t>
      </w:r>
      <w:r w:rsidR="00FE5049" w:rsidRPr="00AB05E0">
        <w:rPr>
          <w:rFonts w:cs="Times New Roman"/>
          <w:sz w:val="24"/>
          <w:szCs w:val="24"/>
        </w:rPr>
        <w:t xml:space="preserve"> le Président de la République a le pouvoir de   signer les </w:t>
      </w:r>
      <w:r w:rsidR="002D1563" w:rsidRPr="00AB05E0">
        <w:rPr>
          <w:rFonts w:cs="Times New Roman"/>
          <w:sz w:val="24"/>
          <w:szCs w:val="24"/>
        </w:rPr>
        <w:t xml:space="preserve"> </w:t>
      </w:r>
      <w:r w:rsidR="006717CD" w:rsidRPr="00AB05E0">
        <w:rPr>
          <w:rFonts w:cs="Times New Roman"/>
          <w:sz w:val="24"/>
          <w:szCs w:val="24"/>
        </w:rPr>
        <w:t>ordonnances et les décrets délibérés en conseil des ministres.</w:t>
      </w:r>
      <w:r w:rsidR="00FE5049" w:rsidRPr="00AB05E0">
        <w:rPr>
          <w:rFonts w:cs="Times New Roman"/>
          <w:sz w:val="24"/>
          <w:szCs w:val="24"/>
        </w:rPr>
        <w:t xml:space="preserve"> </w:t>
      </w:r>
      <w:r w:rsidR="009302FF" w:rsidRPr="00AB05E0">
        <w:rPr>
          <w:rFonts w:cs="Times New Roman"/>
          <w:sz w:val="24"/>
          <w:szCs w:val="24"/>
        </w:rPr>
        <w:t>Au clair, le monopole du pouvoir réglementaire dont dispose le Premier ministre s’ex</w:t>
      </w:r>
      <w:r w:rsidR="00190E2C" w:rsidRPr="00AB05E0">
        <w:rPr>
          <w:rFonts w:cs="Times New Roman"/>
          <w:sz w:val="24"/>
          <w:szCs w:val="24"/>
        </w:rPr>
        <w:t xml:space="preserve">erce dans le respect des prérogatives du Président de la République. </w:t>
      </w:r>
      <w:r w:rsidR="009302FF" w:rsidRPr="00AB05E0">
        <w:rPr>
          <w:rFonts w:cs="Times New Roman"/>
          <w:sz w:val="24"/>
          <w:szCs w:val="24"/>
        </w:rPr>
        <w:t xml:space="preserve"> </w:t>
      </w:r>
      <w:r w:rsidR="00185304" w:rsidRPr="00AB05E0">
        <w:rPr>
          <w:rFonts w:cs="Times New Roman"/>
          <w:sz w:val="24"/>
          <w:szCs w:val="24"/>
        </w:rPr>
        <w:t>Cette position a été rappelée par le  Conseil d’</w:t>
      </w:r>
      <w:r w:rsidR="00820CDB" w:rsidRPr="00AB05E0">
        <w:rPr>
          <w:rFonts w:cs="Times New Roman"/>
          <w:sz w:val="24"/>
          <w:szCs w:val="24"/>
        </w:rPr>
        <w:t xml:space="preserve">Etat dans son arrêt </w:t>
      </w:r>
      <w:r w:rsidR="00185304" w:rsidRPr="00AB05E0">
        <w:rPr>
          <w:rFonts w:cs="Times New Roman"/>
          <w:sz w:val="24"/>
          <w:szCs w:val="24"/>
        </w:rPr>
        <w:t xml:space="preserve"> </w:t>
      </w:r>
      <w:r w:rsidR="00190E2C" w:rsidRPr="00AB05E0">
        <w:rPr>
          <w:rFonts w:cs="Times New Roman"/>
          <w:sz w:val="24"/>
          <w:szCs w:val="24"/>
        </w:rPr>
        <w:t>Meyet</w:t>
      </w:r>
      <w:r w:rsidR="00185304" w:rsidRPr="00AB05E0">
        <w:rPr>
          <w:rFonts w:cs="Times New Roman"/>
          <w:sz w:val="24"/>
          <w:szCs w:val="24"/>
        </w:rPr>
        <w:t xml:space="preserve"> rendu en 1992. </w:t>
      </w:r>
      <w:r w:rsidR="003E19DB" w:rsidRPr="00AB05E0">
        <w:rPr>
          <w:rFonts w:cs="Times New Roman"/>
          <w:sz w:val="24"/>
          <w:szCs w:val="24"/>
        </w:rPr>
        <w:t xml:space="preserve"> Mais, il convient de relever que  le Président de la République exerce un pouvoir réglementaire subsidiaire car  la plénitude appartient  au Premier ministre. </w:t>
      </w:r>
      <w:r w:rsidR="00217EF1" w:rsidRPr="00AB05E0">
        <w:rPr>
          <w:rFonts w:cs="Times New Roman"/>
          <w:sz w:val="24"/>
          <w:szCs w:val="24"/>
        </w:rPr>
        <w:t>Aussi,  les ministres participent, de façon indirecte, à l’exercice du pouvoir réglementaire général en préparant les mesures d’exécution et, surtout, en disposant d’un pouvoir réglementaire “interne“ d’organisation des services : CE, Sect., 7 février 1936</w:t>
      </w:r>
      <w:r w:rsidR="00217EF1" w:rsidRPr="00AB05E0">
        <w:rPr>
          <w:rFonts w:cs="Times New Roman"/>
          <w:i/>
          <w:sz w:val="24"/>
          <w:szCs w:val="24"/>
        </w:rPr>
        <w:t>, Jamart, GAJA</w:t>
      </w:r>
      <w:r w:rsidR="00217EF1" w:rsidRPr="00AB05E0">
        <w:rPr>
          <w:rFonts w:cs="Times New Roman"/>
          <w:sz w:val="24"/>
          <w:szCs w:val="24"/>
        </w:rPr>
        <w:t>.</w:t>
      </w:r>
    </w:p>
    <w:p w:rsidR="00E60EDC" w:rsidRPr="00AB05E0" w:rsidRDefault="006D0981" w:rsidP="000A1B51">
      <w:pPr>
        <w:jc w:val="both"/>
        <w:rPr>
          <w:rFonts w:cs="Times New Roman"/>
          <w:b/>
          <w:sz w:val="24"/>
          <w:szCs w:val="24"/>
        </w:rPr>
      </w:pPr>
      <w:r w:rsidRPr="00AB05E0">
        <w:rPr>
          <w:rFonts w:cs="Times New Roman"/>
          <w:b/>
          <w:sz w:val="24"/>
          <w:szCs w:val="24"/>
        </w:rPr>
        <w:t xml:space="preserve">B. Le développement du pouvoir réglementaires des autorités réglementaires </w:t>
      </w:r>
      <w:r w:rsidR="001C588D" w:rsidRPr="00AB05E0">
        <w:rPr>
          <w:rFonts w:cs="Times New Roman"/>
          <w:b/>
          <w:sz w:val="24"/>
          <w:szCs w:val="24"/>
        </w:rPr>
        <w:t>secondaires</w:t>
      </w:r>
    </w:p>
    <w:p w:rsidR="00266FA6" w:rsidRPr="00AB05E0" w:rsidRDefault="009140A3" w:rsidP="000A1B51">
      <w:pPr>
        <w:jc w:val="both"/>
        <w:rPr>
          <w:sz w:val="24"/>
          <w:szCs w:val="24"/>
        </w:rPr>
      </w:pPr>
      <w:r w:rsidRPr="00AB05E0">
        <w:rPr>
          <w:sz w:val="24"/>
          <w:szCs w:val="24"/>
        </w:rPr>
        <w:t>En dépit de l’unicité du pouvoir réglementaire, d</w:t>
      </w:r>
      <w:r w:rsidR="00E60EDC" w:rsidRPr="00AB05E0">
        <w:rPr>
          <w:sz w:val="24"/>
          <w:szCs w:val="24"/>
        </w:rPr>
        <w:t>’autres</w:t>
      </w:r>
      <w:r w:rsidR="00E60EDC" w:rsidRPr="00AB05E0">
        <w:rPr>
          <w:spacing w:val="1"/>
          <w:sz w:val="24"/>
          <w:szCs w:val="24"/>
        </w:rPr>
        <w:t xml:space="preserve"> </w:t>
      </w:r>
      <w:r w:rsidRPr="00AB05E0">
        <w:rPr>
          <w:sz w:val="24"/>
          <w:szCs w:val="24"/>
        </w:rPr>
        <w:t xml:space="preserve">autorités </w:t>
      </w:r>
      <w:r w:rsidR="00E60EDC" w:rsidRPr="00AB05E0">
        <w:rPr>
          <w:spacing w:val="1"/>
          <w:sz w:val="24"/>
          <w:szCs w:val="24"/>
        </w:rPr>
        <w:t xml:space="preserve"> </w:t>
      </w:r>
      <w:r w:rsidR="00E60EDC" w:rsidRPr="00AB05E0">
        <w:rPr>
          <w:sz w:val="24"/>
          <w:szCs w:val="24"/>
        </w:rPr>
        <w:t>publiques</w:t>
      </w:r>
      <w:r w:rsidR="00E60EDC" w:rsidRPr="00AB05E0">
        <w:rPr>
          <w:spacing w:val="1"/>
          <w:sz w:val="24"/>
          <w:szCs w:val="24"/>
        </w:rPr>
        <w:t xml:space="preserve"> </w:t>
      </w:r>
      <w:r w:rsidRPr="00AB05E0">
        <w:rPr>
          <w:spacing w:val="1"/>
          <w:sz w:val="24"/>
          <w:szCs w:val="24"/>
        </w:rPr>
        <w:t xml:space="preserve"> </w:t>
      </w:r>
      <w:r w:rsidR="00E60EDC" w:rsidRPr="00AB05E0">
        <w:rPr>
          <w:sz w:val="24"/>
          <w:szCs w:val="24"/>
        </w:rPr>
        <w:t xml:space="preserve">peuvent se voir confier </w:t>
      </w:r>
      <w:r w:rsidR="006407E0" w:rsidRPr="00AB05E0">
        <w:rPr>
          <w:sz w:val="24"/>
          <w:szCs w:val="24"/>
        </w:rPr>
        <w:t xml:space="preserve">le  </w:t>
      </w:r>
      <w:r w:rsidR="00E60EDC" w:rsidRPr="00AB05E0">
        <w:rPr>
          <w:sz w:val="24"/>
          <w:szCs w:val="24"/>
        </w:rPr>
        <w:t>pouvoir réglementaire</w:t>
      </w:r>
      <w:r w:rsidR="006407E0" w:rsidRPr="00AB05E0">
        <w:rPr>
          <w:sz w:val="24"/>
          <w:szCs w:val="24"/>
        </w:rPr>
        <w:t xml:space="preserve"> dans les limites de leurs champs de  </w:t>
      </w:r>
      <w:r w:rsidR="00E60EDC" w:rsidRPr="00AB05E0">
        <w:rPr>
          <w:sz w:val="24"/>
          <w:szCs w:val="24"/>
        </w:rPr>
        <w:t xml:space="preserve"> </w:t>
      </w:r>
      <w:r w:rsidR="006407E0" w:rsidRPr="00AB05E0">
        <w:rPr>
          <w:sz w:val="24"/>
          <w:szCs w:val="24"/>
        </w:rPr>
        <w:t>compétences</w:t>
      </w:r>
      <w:r w:rsidR="00E60EDC" w:rsidRPr="00AB05E0">
        <w:rPr>
          <w:sz w:val="24"/>
          <w:szCs w:val="24"/>
        </w:rPr>
        <w:t xml:space="preserve">. </w:t>
      </w:r>
      <w:r w:rsidR="006407E0" w:rsidRPr="00AB05E0">
        <w:rPr>
          <w:sz w:val="24"/>
          <w:szCs w:val="24"/>
        </w:rPr>
        <w:t xml:space="preserve">Très souvent, cet aménagement résulte de la volonté du législateur. </w:t>
      </w:r>
      <w:r w:rsidR="00A4783B" w:rsidRPr="00AB05E0">
        <w:rPr>
          <w:sz w:val="24"/>
          <w:szCs w:val="24"/>
        </w:rPr>
        <w:t>Toutefois, l’exercice de ces autorités est  limité.</w:t>
      </w:r>
      <w:r w:rsidR="006407E0" w:rsidRPr="00AB05E0">
        <w:rPr>
          <w:sz w:val="24"/>
          <w:szCs w:val="24"/>
        </w:rPr>
        <w:t xml:space="preserve"> </w:t>
      </w:r>
      <w:r w:rsidR="00266FA6" w:rsidRPr="00AB05E0">
        <w:rPr>
          <w:sz w:val="24"/>
          <w:szCs w:val="24"/>
        </w:rPr>
        <w:t xml:space="preserve">Les collectivités territoriales  et les autorités administratives </w:t>
      </w:r>
      <w:r w:rsidR="00266FA6" w:rsidRPr="00AB05E0">
        <w:rPr>
          <w:sz w:val="24"/>
          <w:szCs w:val="24"/>
        </w:rPr>
        <w:lastRenderedPageBreak/>
        <w:t>indépendantes sont des exemples des autorités qui exercent le pouvoir réglementaire limité voire spécialisé.</w:t>
      </w:r>
      <w:r w:rsidR="00A4783B" w:rsidRPr="00AB05E0">
        <w:rPr>
          <w:sz w:val="24"/>
          <w:szCs w:val="24"/>
        </w:rPr>
        <w:t xml:space="preserve"> </w:t>
      </w:r>
    </w:p>
    <w:p w:rsidR="00056995" w:rsidRPr="00AB05E0" w:rsidRDefault="00056995" w:rsidP="000A1B51">
      <w:pPr>
        <w:spacing w:after="0"/>
        <w:jc w:val="both"/>
        <w:rPr>
          <w:rFonts w:cs="Times New Roman"/>
          <w:b/>
          <w:sz w:val="24"/>
          <w:szCs w:val="24"/>
        </w:rPr>
      </w:pPr>
      <w:r w:rsidRPr="00AB05E0">
        <w:rPr>
          <w:rFonts w:cs="Times New Roman"/>
          <w:b/>
          <w:sz w:val="24"/>
          <w:szCs w:val="24"/>
        </w:rPr>
        <w:t xml:space="preserve">1. </w:t>
      </w:r>
      <w:r w:rsidR="00E51993" w:rsidRPr="00AB05E0">
        <w:rPr>
          <w:rFonts w:cs="Times New Roman"/>
          <w:b/>
          <w:sz w:val="24"/>
          <w:szCs w:val="24"/>
        </w:rPr>
        <w:t>L</w:t>
      </w:r>
      <w:r w:rsidR="005869D4" w:rsidRPr="00AB05E0">
        <w:rPr>
          <w:rFonts w:cs="Times New Roman"/>
          <w:b/>
          <w:sz w:val="24"/>
          <w:szCs w:val="24"/>
        </w:rPr>
        <w:t xml:space="preserve">es </w:t>
      </w:r>
      <w:r w:rsidRPr="00AB05E0">
        <w:rPr>
          <w:rFonts w:cs="Times New Roman"/>
          <w:b/>
          <w:sz w:val="24"/>
          <w:szCs w:val="24"/>
        </w:rPr>
        <w:t xml:space="preserve">CT </w:t>
      </w:r>
    </w:p>
    <w:p w:rsidR="00056995" w:rsidRPr="00AB05E0" w:rsidRDefault="00056995" w:rsidP="000A1B51">
      <w:pPr>
        <w:spacing w:after="0"/>
        <w:jc w:val="both"/>
        <w:rPr>
          <w:rFonts w:cs="Times New Roman"/>
          <w:i/>
          <w:sz w:val="24"/>
          <w:szCs w:val="24"/>
        </w:rPr>
      </w:pPr>
    </w:p>
    <w:p w:rsidR="00056995" w:rsidRPr="00AB05E0" w:rsidRDefault="0017621B" w:rsidP="000A1B51">
      <w:pPr>
        <w:spacing w:after="0"/>
        <w:jc w:val="both"/>
        <w:rPr>
          <w:rFonts w:eastAsia="Calibri" w:cs="Times New Roman"/>
          <w:sz w:val="24"/>
          <w:szCs w:val="24"/>
        </w:rPr>
      </w:pPr>
      <w:r w:rsidRPr="00AB05E0">
        <w:rPr>
          <w:rFonts w:cs="Times New Roman"/>
          <w:sz w:val="24"/>
          <w:szCs w:val="24"/>
        </w:rPr>
        <w:t xml:space="preserve">Dans le premier cas, </w:t>
      </w:r>
      <w:r w:rsidR="009140A3" w:rsidRPr="00AB05E0">
        <w:rPr>
          <w:rFonts w:eastAsia="Calibri" w:cs="Times New Roman"/>
          <w:sz w:val="24"/>
          <w:szCs w:val="24"/>
        </w:rPr>
        <w:t>l’article 72,3</w:t>
      </w:r>
      <w:r w:rsidRPr="00AB05E0">
        <w:rPr>
          <w:rFonts w:eastAsia="Calibri" w:cs="Times New Roman"/>
          <w:sz w:val="24"/>
          <w:szCs w:val="24"/>
        </w:rPr>
        <w:t xml:space="preserve"> de la Constitution </w:t>
      </w:r>
      <w:r w:rsidR="0007360B" w:rsidRPr="00AB05E0">
        <w:rPr>
          <w:rFonts w:eastAsia="Calibri" w:cs="Times New Roman"/>
          <w:sz w:val="24"/>
          <w:szCs w:val="24"/>
        </w:rPr>
        <w:t>la libre administration des collectivités territoriales</w:t>
      </w:r>
      <w:r w:rsidR="009140A3" w:rsidRPr="00AB05E0">
        <w:rPr>
          <w:rFonts w:eastAsia="Calibri" w:cs="Times New Roman"/>
          <w:sz w:val="24"/>
          <w:szCs w:val="24"/>
        </w:rPr>
        <w:t xml:space="preserve"> : « dans les conditions prévues par la loi, ces collectivités s’administrent librement par des conseils élus… ». </w:t>
      </w:r>
      <w:r w:rsidR="0007360B" w:rsidRPr="00AB05E0">
        <w:rPr>
          <w:rFonts w:eastAsia="Calibri" w:cs="Times New Roman"/>
          <w:sz w:val="24"/>
          <w:szCs w:val="24"/>
        </w:rPr>
        <w:t xml:space="preserve">Ainsi, les autorités locales (le maire et le préfet) peuvent prendre des mesures tendant </w:t>
      </w:r>
      <w:r w:rsidR="00056995" w:rsidRPr="00AB05E0">
        <w:rPr>
          <w:rFonts w:eastAsia="Calibri" w:cs="Times New Roman"/>
          <w:sz w:val="24"/>
          <w:szCs w:val="24"/>
        </w:rPr>
        <w:t xml:space="preserve">à régler les situations dans leurs collectivités respectives. </w:t>
      </w:r>
    </w:p>
    <w:p w:rsidR="007C2A72" w:rsidRPr="00AB05E0" w:rsidRDefault="007D5876" w:rsidP="000A1B51">
      <w:pPr>
        <w:pStyle w:val="Sansinterligne"/>
        <w:spacing w:line="276" w:lineRule="auto"/>
        <w:jc w:val="both"/>
        <w:rPr>
          <w:rFonts w:cs="Times New Roman"/>
          <w:sz w:val="24"/>
          <w:szCs w:val="24"/>
        </w:rPr>
      </w:pPr>
      <w:r w:rsidRPr="00AB05E0">
        <w:rPr>
          <w:rFonts w:eastAsia="Calibri" w:cs="Times New Roman"/>
          <w:sz w:val="24"/>
          <w:szCs w:val="24"/>
        </w:rPr>
        <w:t xml:space="preserve">Cependant,  l’exercice est soumis au respect de la loi. Ici,  </w:t>
      </w:r>
      <w:r w:rsidRPr="00AB05E0">
        <w:rPr>
          <w:rFonts w:cs="Times New Roman"/>
          <w:sz w:val="24"/>
          <w:szCs w:val="24"/>
        </w:rPr>
        <w:t xml:space="preserve">le pouvoir règlementaire n’existe que pour l’exercice des compétences des collectivités territoriales dont  la relève du domaine de la loi d’après l’article 34 de la constitution.  Le pouvoir  réglementaire  des collectivités territoriales  est toujours exercé en application ou à l’exécution de la loi, d’où c’est un pouvoir subordonné.  </w:t>
      </w:r>
      <w:r w:rsidRPr="00AB05E0">
        <w:rPr>
          <w:rFonts w:eastAsia="Calibri" w:cs="Times New Roman"/>
          <w:sz w:val="24"/>
          <w:szCs w:val="24"/>
        </w:rPr>
        <w:t xml:space="preserve">Le caractère subordonné du pouvoir </w:t>
      </w:r>
      <w:r w:rsidR="00922894" w:rsidRPr="00AB05E0">
        <w:rPr>
          <w:rFonts w:eastAsia="Calibri" w:cs="Times New Roman"/>
          <w:sz w:val="24"/>
          <w:szCs w:val="24"/>
        </w:rPr>
        <w:t>réglementaire des C</w:t>
      </w:r>
      <w:r w:rsidRPr="00AB05E0">
        <w:rPr>
          <w:rFonts w:eastAsia="Calibri" w:cs="Times New Roman"/>
          <w:sz w:val="24"/>
          <w:szCs w:val="24"/>
        </w:rPr>
        <w:t xml:space="preserve">t </w:t>
      </w:r>
      <w:r w:rsidRPr="00AB05E0">
        <w:rPr>
          <w:rFonts w:cs="Times New Roman"/>
          <w:sz w:val="24"/>
          <w:szCs w:val="24"/>
        </w:rPr>
        <w:t>a été rappelé par le Conseil constitutionnel dans sa décision de 2002, ‘’ loi relative à la Corse.</w:t>
      </w:r>
    </w:p>
    <w:p w:rsidR="003824DD" w:rsidRPr="00AB05E0" w:rsidRDefault="003824DD" w:rsidP="000A1B51">
      <w:pPr>
        <w:pStyle w:val="Sansinterligne"/>
        <w:spacing w:line="276" w:lineRule="auto"/>
        <w:jc w:val="both"/>
        <w:rPr>
          <w:rFonts w:cstheme="minorHAnsi"/>
        </w:rPr>
      </w:pPr>
      <w:r w:rsidRPr="00AB05E0">
        <w:rPr>
          <w:rFonts w:cs="Times New Roman"/>
          <w:sz w:val="24"/>
          <w:szCs w:val="24"/>
        </w:rPr>
        <w:t xml:space="preserve">Par ailleurs, </w:t>
      </w:r>
      <w:r w:rsidR="00B24CA6" w:rsidRPr="00AB05E0">
        <w:rPr>
          <w:rFonts w:cstheme="minorHAnsi"/>
        </w:rPr>
        <w:t>si le pouvoir règlementaire des CT  est bien une garantie à l’exercice de leurs compétences,  il est également précaire. Cette précarité  apparaît lorsqu’il est confronté au pouvoir règlementaire national d’exécution de la loi. En effet, l’article 21 de la Constitution donne en principe au Premier ministre la compétence pour prendre des décrets d’exécution ou d’application de la loi.</w:t>
      </w:r>
      <w:r w:rsidR="00FC1670" w:rsidRPr="00AB05E0">
        <w:rPr>
          <w:rFonts w:cstheme="minorHAnsi"/>
        </w:rPr>
        <w:t xml:space="preserve"> Cet</w:t>
      </w:r>
      <w:r w:rsidR="000A1B51" w:rsidRPr="00AB05E0">
        <w:rPr>
          <w:rFonts w:cstheme="minorHAnsi"/>
        </w:rPr>
        <w:t xml:space="preserve">te position est partagée par Louis Favoreu (Cahiers du CFCP, oct. 1983, n° 13, p. XIV) </w:t>
      </w:r>
      <w:r w:rsidR="00FC1670" w:rsidRPr="00AB05E0">
        <w:rPr>
          <w:rFonts w:cstheme="minorHAnsi"/>
        </w:rPr>
        <w:t xml:space="preserve">qui oppose le pouvoir réglementaire des autorités locales au pouvoir réservé. </w:t>
      </w:r>
      <w:r w:rsidR="000A1B51" w:rsidRPr="00AB05E0">
        <w:rPr>
          <w:rFonts w:cstheme="minorHAnsi"/>
        </w:rPr>
        <w:t>En effet, considéré comme un pouvoir résiduel, le pouvoir réglementaire des autorités locales est en effet un pouvoir « susceptible d’être envahi progressivement. M</w:t>
      </w:r>
      <w:r w:rsidR="00FC1670" w:rsidRPr="00AB05E0">
        <w:rPr>
          <w:rFonts w:cstheme="minorHAnsi"/>
        </w:rPr>
        <w:t>ême dans l’hypothèse où la loi renvoyait aux autorités territoriales le soin de déterminer ses conditions d’application, rien n’empêcherait le pouvoir réglementaire national d’</w:t>
      </w:r>
      <w:r w:rsidR="000A1B51" w:rsidRPr="00AB05E0">
        <w:rPr>
          <w:rFonts w:cstheme="minorHAnsi"/>
        </w:rPr>
        <w:t xml:space="preserve">intervenir. </w:t>
      </w:r>
    </w:p>
    <w:p w:rsidR="007C2A72" w:rsidRPr="00AB05E0" w:rsidRDefault="007C2A72" w:rsidP="000A1B51">
      <w:pPr>
        <w:pStyle w:val="Sansinterligne"/>
        <w:spacing w:line="276" w:lineRule="auto"/>
        <w:jc w:val="both"/>
        <w:rPr>
          <w:rFonts w:eastAsia="Calibri" w:cs="Calibri"/>
          <w:b/>
          <w:sz w:val="24"/>
          <w:szCs w:val="24"/>
        </w:rPr>
      </w:pPr>
    </w:p>
    <w:p w:rsidR="002B6C12" w:rsidRPr="00AB05E0" w:rsidRDefault="005869D4" w:rsidP="000A1B51">
      <w:pPr>
        <w:jc w:val="both"/>
        <w:rPr>
          <w:rFonts w:cs="Times New Roman"/>
          <w:b/>
          <w:sz w:val="24"/>
          <w:szCs w:val="24"/>
        </w:rPr>
      </w:pPr>
      <w:r w:rsidRPr="00AB05E0">
        <w:rPr>
          <w:rFonts w:cs="Times New Roman"/>
          <w:b/>
          <w:sz w:val="24"/>
          <w:szCs w:val="24"/>
        </w:rPr>
        <w:t>2. Pouvoir réglementaire des autorité</w:t>
      </w:r>
      <w:r w:rsidR="002B6C12" w:rsidRPr="00AB05E0">
        <w:rPr>
          <w:rFonts w:cs="Times New Roman"/>
          <w:b/>
          <w:sz w:val="24"/>
          <w:szCs w:val="24"/>
        </w:rPr>
        <w:t>s administratives indépendantes (AAI)</w:t>
      </w:r>
    </w:p>
    <w:p w:rsidR="005A43E9" w:rsidRPr="00AB05E0" w:rsidRDefault="002B6C12" w:rsidP="000A1B51">
      <w:pPr>
        <w:jc w:val="both"/>
        <w:rPr>
          <w:rFonts w:cs="Times New Roman"/>
          <w:sz w:val="24"/>
          <w:szCs w:val="24"/>
        </w:rPr>
      </w:pPr>
      <w:r w:rsidRPr="00AB05E0">
        <w:rPr>
          <w:rFonts w:cs="Times New Roman"/>
          <w:sz w:val="24"/>
          <w:szCs w:val="24"/>
        </w:rPr>
        <w:t xml:space="preserve">Créées au début des années 70, les AAI sont chargées de </w:t>
      </w:r>
      <w:r w:rsidR="00340A9A" w:rsidRPr="00AB05E0">
        <w:rPr>
          <w:rFonts w:cs="Times New Roman"/>
          <w:sz w:val="24"/>
          <w:szCs w:val="24"/>
        </w:rPr>
        <w:t xml:space="preserve">la mise en œuvre de la régulation économique et financière. Elles découlent de la volonté du législateur qui décide de déléguer quelques missions à des institutions autonomes. La Commission nationale de l’informatique et des libertés (CNIL) est la  première AAI mise en place en 1978 en charge de veiller à l’utilisation et à la protection des données informatiques. </w:t>
      </w:r>
      <w:r w:rsidR="005A43E9" w:rsidRPr="00AB05E0">
        <w:rPr>
          <w:rFonts w:cs="Times New Roman"/>
          <w:sz w:val="24"/>
          <w:szCs w:val="24"/>
        </w:rPr>
        <w:t xml:space="preserve">D’un point de vue matériel, le </w:t>
      </w:r>
      <w:r w:rsidR="007000B6" w:rsidRPr="00AB05E0">
        <w:rPr>
          <w:rFonts w:cs="Times New Roman"/>
          <w:sz w:val="24"/>
          <w:szCs w:val="24"/>
        </w:rPr>
        <w:t xml:space="preserve">pouvoir réglementaire </w:t>
      </w:r>
      <w:r w:rsidR="005A43E9" w:rsidRPr="00AB05E0">
        <w:rPr>
          <w:rFonts w:cs="Times New Roman"/>
          <w:sz w:val="24"/>
          <w:szCs w:val="24"/>
        </w:rPr>
        <w:t xml:space="preserve"> des AAI est limité à la régulation économique.</w:t>
      </w:r>
    </w:p>
    <w:p w:rsidR="007000B6" w:rsidRPr="00AB05E0" w:rsidRDefault="005A43E9" w:rsidP="000A1B51">
      <w:pPr>
        <w:jc w:val="both"/>
        <w:rPr>
          <w:rFonts w:cs="Times New Roman"/>
          <w:sz w:val="24"/>
          <w:szCs w:val="24"/>
        </w:rPr>
      </w:pPr>
      <w:r w:rsidRPr="00AB05E0">
        <w:rPr>
          <w:rFonts w:cs="Times New Roman"/>
          <w:sz w:val="24"/>
          <w:szCs w:val="24"/>
        </w:rPr>
        <w:t xml:space="preserve">De la même manière, l’exercice de leurs missions est juridiquement limité. En effet, selon les termes de Jean-Marc Sauvé, Vice-Président du Conseil d’Etat, les AAI représentent une exception à l’article 20 de la Constitution, selon lequel le gouvernement dispose de l’administration (voir Audition par le Comité parlementaire d’évaluation des politiques publiques sur les AAI, février 2010). </w:t>
      </w:r>
      <w:r w:rsidR="007000B6" w:rsidRPr="00AB05E0">
        <w:rPr>
          <w:rFonts w:cs="Times New Roman"/>
          <w:sz w:val="24"/>
          <w:szCs w:val="24"/>
        </w:rPr>
        <w:t>Le pouvoir réglementaire des AAI ne doivent en aucune circonstance empiéter ou concurrencer le pouvoir réglementaire reconnu au Premier ministre en vertu de l’article 21 de la Constitution. La jurisprudence constitutionnelle défend également le pouvoir limité d</w:t>
      </w:r>
      <w:r w:rsidR="00087A97" w:rsidRPr="00AB05E0">
        <w:rPr>
          <w:rFonts w:cs="Times New Roman"/>
          <w:sz w:val="24"/>
          <w:szCs w:val="24"/>
        </w:rPr>
        <w:t>u pouvoir réglementaire des AAI (D</w:t>
      </w:r>
      <w:r w:rsidR="007000B6" w:rsidRPr="00AB05E0">
        <w:rPr>
          <w:rFonts w:cs="Times New Roman"/>
          <w:sz w:val="24"/>
          <w:szCs w:val="24"/>
        </w:rPr>
        <w:t>écision</w:t>
      </w:r>
      <w:r w:rsidR="00087A97" w:rsidRPr="00AB05E0">
        <w:rPr>
          <w:rFonts w:cs="Times New Roman"/>
          <w:sz w:val="24"/>
          <w:szCs w:val="24"/>
        </w:rPr>
        <w:t xml:space="preserve"> du Conseil </w:t>
      </w:r>
      <w:r w:rsidR="00087A97" w:rsidRPr="00AB05E0">
        <w:rPr>
          <w:rFonts w:cs="Times New Roman"/>
          <w:sz w:val="24"/>
          <w:szCs w:val="24"/>
        </w:rPr>
        <w:lastRenderedPageBreak/>
        <w:t xml:space="preserve">constitutionnel, </w:t>
      </w:r>
      <w:r w:rsidR="007000B6" w:rsidRPr="00AB05E0">
        <w:rPr>
          <w:rFonts w:cs="Times New Roman"/>
          <w:sz w:val="24"/>
          <w:szCs w:val="24"/>
        </w:rPr>
        <w:t xml:space="preserve"> </w:t>
      </w:r>
      <w:r w:rsidR="00087A97" w:rsidRPr="00AB05E0">
        <w:rPr>
          <w:rFonts w:cs="Times New Roman"/>
          <w:sz w:val="24"/>
          <w:szCs w:val="24"/>
        </w:rPr>
        <w:t xml:space="preserve">loi sur le Conseil supérieur de l’audiovisuel de 1986). Ainsi, les AAI ne peuvent pas agir après que  le pouvoir réglementaire national ait déjà intervenu. </w:t>
      </w:r>
      <w:r w:rsidR="0076065F" w:rsidRPr="00AB05E0">
        <w:rPr>
          <w:rFonts w:cs="Times New Roman"/>
          <w:sz w:val="24"/>
          <w:szCs w:val="24"/>
        </w:rPr>
        <w:t>En outre, d</w:t>
      </w:r>
      <w:r w:rsidR="00087A97" w:rsidRPr="00AB05E0">
        <w:rPr>
          <w:rFonts w:cs="Times New Roman"/>
          <w:sz w:val="24"/>
          <w:szCs w:val="24"/>
        </w:rPr>
        <w:t>ans son rapport sur les AAI  publié en 2001, le Conseil d’Etat affirme sans équivoque que le pouvoir réglementaire confié aux AAI est étroitement spécialisé et subordonné</w:t>
      </w:r>
      <w:r w:rsidR="0076065F" w:rsidRPr="00AB05E0">
        <w:rPr>
          <w:rFonts w:cs="Times New Roman"/>
          <w:sz w:val="24"/>
          <w:szCs w:val="24"/>
        </w:rPr>
        <w:t>. C’est un pouvoir qui relève par nature d’un pouvoir réglementaire d’application de de la loi, et en aucun cas d’un pouvoir réglementaire autonome.</w:t>
      </w:r>
    </w:p>
    <w:p w:rsidR="001C588D" w:rsidRPr="00AB05E0" w:rsidRDefault="001C588D" w:rsidP="000A1B51">
      <w:pPr>
        <w:jc w:val="both"/>
        <w:rPr>
          <w:rFonts w:cs="Times New Roman"/>
          <w:sz w:val="24"/>
          <w:szCs w:val="24"/>
        </w:rPr>
      </w:pPr>
    </w:p>
    <w:sectPr w:rsidR="001C588D" w:rsidRPr="00AB0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47F"/>
    <w:multiLevelType w:val="hybridMultilevel"/>
    <w:tmpl w:val="67EC5716"/>
    <w:lvl w:ilvl="0" w:tplc="284EBB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BD"/>
    <w:rsid w:val="00007291"/>
    <w:rsid w:val="00010566"/>
    <w:rsid w:val="00020744"/>
    <w:rsid w:val="000233D1"/>
    <w:rsid w:val="000342FB"/>
    <w:rsid w:val="00056995"/>
    <w:rsid w:val="00057021"/>
    <w:rsid w:val="0005767F"/>
    <w:rsid w:val="0007360B"/>
    <w:rsid w:val="00073D60"/>
    <w:rsid w:val="000836D0"/>
    <w:rsid w:val="00087A97"/>
    <w:rsid w:val="000A0D56"/>
    <w:rsid w:val="000A1B51"/>
    <w:rsid w:val="000A38EE"/>
    <w:rsid w:val="000A7FC1"/>
    <w:rsid w:val="000B4A5D"/>
    <w:rsid w:val="000C4A7F"/>
    <w:rsid w:val="000D032D"/>
    <w:rsid w:val="000E0575"/>
    <w:rsid w:val="000F57B8"/>
    <w:rsid w:val="0010035C"/>
    <w:rsid w:val="00101D48"/>
    <w:rsid w:val="00120CFF"/>
    <w:rsid w:val="00126948"/>
    <w:rsid w:val="0013220A"/>
    <w:rsid w:val="00135183"/>
    <w:rsid w:val="00135E0E"/>
    <w:rsid w:val="001415F5"/>
    <w:rsid w:val="001608E7"/>
    <w:rsid w:val="00163F2C"/>
    <w:rsid w:val="00165B5E"/>
    <w:rsid w:val="00175E6B"/>
    <w:rsid w:val="0017621B"/>
    <w:rsid w:val="001776F7"/>
    <w:rsid w:val="00185304"/>
    <w:rsid w:val="00186F68"/>
    <w:rsid w:val="00190E2C"/>
    <w:rsid w:val="00195376"/>
    <w:rsid w:val="001963FF"/>
    <w:rsid w:val="001A6C2B"/>
    <w:rsid w:val="001C0B6E"/>
    <w:rsid w:val="001C588D"/>
    <w:rsid w:val="001C5DDD"/>
    <w:rsid w:val="001D2FA0"/>
    <w:rsid w:val="001D4F42"/>
    <w:rsid w:val="00207081"/>
    <w:rsid w:val="00217EF1"/>
    <w:rsid w:val="002335C0"/>
    <w:rsid w:val="00241FB8"/>
    <w:rsid w:val="00266034"/>
    <w:rsid w:val="00266FA6"/>
    <w:rsid w:val="00285F08"/>
    <w:rsid w:val="002B6C12"/>
    <w:rsid w:val="002C3286"/>
    <w:rsid w:val="002D1563"/>
    <w:rsid w:val="002E781F"/>
    <w:rsid w:val="002E78B9"/>
    <w:rsid w:val="00300D39"/>
    <w:rsid w:val="0030219B"/>
    <w:rsid w:val="00303062"/>
    <w:rsid w:val="003303A6"/>
    <w:rsid w:val="00340A9A"/>
    <w:rsid w:val="00356869"/>
    <w:rsid w:val="003824DD"/>
    <w:rsid w:val="003D7031"/>
    <w:rsid w:val="003E19DB"/>
    <w:rsid w:val="003F3CD5"/>
    <w:rsid w:val="003F76CD"/>
    <w:rsid w:val="00405219"/>
    <w:rsid w:val="004270B5"/>
    <w:rsid w:val="0043738B"/>
    <w:rsid w:val="0044210D"/>
    <w:rsid w:val="00476B05"/>
    <w:rsid w:val="0048226D"/>
    <w:rsid w:val="004A4D62"/>
    <w:rsid w:val="004A5079"/>
    <w:rsid w:val="004A5CCD"/>
    <w:rsid w:val="004C5ED2"/>
    <w:rsid w:val="005238A4"/>
    <w:rsid w:val="00543BAE"/>
    <w:rsid w:val="00567009"/>
    <w:rsid w:val="00572F4E"/>
    <w:rsid w:val="005855EE"/>
    <w:rsid w:val="005869D4"/>
    <w:rsid w:val="005A43E9"/>
    <w:rsid w:val="005A588E"/>
    <w:rsid w:val="005B3E69"/>
    <w:rsid w:val="005D3D72"/>
    <w:rsid w:val="005E41BD"/>
    <w:rsid w:val="006240D2"/>
    <w:rsid w:val="006407E0"/>
    <w:rsid w:val="006422FC"/>
    <w:rsid w:val="006433AA"/>
    <w:rsid w:val="00645ABD"/>
    <w:rsid w:val="006631DC"/>
    <w:rsid w:val="006700EE"/>
    <w:rsid w:val="006717CD"/>
    <w:rsid w:val="00673453"/>
    <w:rsid w:val="00694EBE"/>
    <w:rsid w:val="006B70D2"/>
    <w:rsid w:val="006C21A4"/>
    <w:rsid w:val="006C3BBF"/>
    <w:rsid w:val="006D0981"/>
    <w:rsid w:val="006D265E"/>
    <w:rsid w:val="006D6BE6"/>
    <w:rsid w:val="006E62F9"/>
    <w:rsid w:val="007000B6"/>
    <w:rsid w:val="0071168F"/>
    <w:rsid w:val="00716869"/>
    <w:rsid w:val="0071702E"/>
    <w:rsid w:val="00733917"/>
    <w:rsid w:val="00740124"/>
    <w:rsid w:val="007442EF"/>
    <w:rsid w:val="0076065F"/>
    <w:rsid w:val="00770708"/>
    <w:rsid w:val="0077119E"/>
    <w:rsid w:val="0078285E"/>
    <w:rsid w:val="00794152"/>
    <w:rsid w:val="007C2A72"/>
    <w:rsid w:val="007C4C0A"/>
    <w:rsid w:val="007D5876"/>
    <w:rsid w:val="007F6AD7"/>
    <w:rsid w:val="00806A4C"/>
    <w:rsid w:val="00820CDB"/>
    <w:rsid w:val="0083459C"/>
    <w:rsid w:val="00840736"/>
    <w:rsid w:val="008540FE"/>
    <w:rsid w:val="00863CC3"/>
    <w:rsid w:val="008726CA"/>
    <w:rsid w:val="008A2880"/>
    <w:rsid w:val="008A3EA4"/>
    <w:rsid w:val="008A7304"/>
    <w:rsid w:val="008A7C8A"/>
    <w:rsid w:val="008B5C83"/>
    <w:rsid w:val="008C117E"/>
    <w:rsid w:val="008D4B71"/>
    <w:rsid w:val="008E4657"/>
    <w:rsid w:val="009140A3"/>
    <w:rsid w:val="00922894"/>
    <w:rsid w:val="009302FF"/>
    <w:rsid w:val="0096506A"/>
    <w:rsid w:val="00971032"/>
    <w:rsid w:val="0097398B"/>
    <w:rsid w:val="009B44F7"/>
    <w:rsid w:val="009C3EC4"/>
    <w:rsid w:val="009D4DD7"/>
    <w:rsid w:val="009E1442"/>
    <w:rsid w:val="009F3131"/>
    <w:rsid w:val="00A0513C"/>
    <w:rsid w:val="00A10CB0"/>
    <w:rsid w:val="00A31821"/>
    <w:rsid w:val="00A4783B"/>
    <w:rsid w:val="00A57F28"/>
    <w:rsid w:val="00A67675"/>
    <w:rsid w:val="00A815EE"/>
    <w:rsid w:val="00AA3B70"/>
    <w:rsid w:val="00AB05E0"/>
    <w:rsid w:val="00AF5F58"/>
    <w:rsid w:val="00B00A07"/>
    <w:rsid w:val="00B24CA6"/>
    <w:rsid w:val="00B25131"/>
    <w:rsid w:val="00B440CE"/>
    <w:rsid w:val="00B501E0"/>
    <w:rsid w:val="00B7222C"/>
    <w:rsid w:val="00BA6633"/>
    <w:rsid w:val="00BD7CAE"/>
    <w:rsid w:val="00BE4D75"/>
    <w:rsid w:val="00C06597"/>
    <w:rsid w:val="00C15652"/>
    <w:rsid w:val="00C17C85"/>
    <w:rsid w:val="00C231C4"/>
    <w:rsid w:val="00C35F38"/>
    <w:rsid w:val="00C54772"/>
    <w:rsid w:val="00C75DAE"/>
    <w:rsid w:val="00C80229"/>
    <w:rsid w:val="00C81577"/>
    <w:rsid w:val="00C879CE"/>
    <w:rsid w:val="00CB213D"/>
    <w:rsid w:val="00CB3F4B"/>
    <w:rsid w:val="00CC00A4"/>
    <w:rsid w:val="00CC4004"/>
    <w:rsid w:val="00CD0A29"/>
    <w:rsid w:val="00CD4B06"/>
    <w:rsid w:val="00CD5601"/>
    <w:rsid w:val="00CD5726"/>
    <w:rsid w:val="00CE75FA"/>
    <w:rsid w:val="00CF60EC"/>
    <w:rsid w:val="00D114B3"/>
    <w:rsid w:val="00D24AEF"/>
    <w:rsid w:val="00D84F1F"/>
    <w:rsid w:val="00DC5286"/>
    <w:rsid w:val="00DE39BD"/>
    <w:rsid w:val="00DF7D93"/>
    <w:rsid w:val="00E12AF5"/>
    <w:rsid w:val="00E40B54"/>
    <w:rsid w:val="00E453D0"/>
    <w:rsid w:val="00E51993"/>
    <w:rsid w:val="00E6005C"/>
    <w:rsid w:val="00E60EDC"/>
    <w:rsid w:val="00E95783"/>
    <w:rsid w:val="00EA6F71"/>
    <w:rsid w:val="00EA71B6"/>
    <w:rsid w:val="00EB4B79"/>
    <w:rsid w:val="00EE28EC"/>
    <w:rsid w:val="00EE5368"/>
    <w:rsid w:val="00EF5F0A"/>
    <w:rsid w:val="00EF69B6"/>
    <w:rsid w:val="00F048A4"/>
    <w:rsid w:val="00F0585B"/>
    <w:rsid w:val="00F10F94"/>
    <w:rsid w:val="00F26C30"/>
    <w:rsid w:val="00F45192"/>
    <w:rsid w:val="00F52FB6"/>
    <w:rsid w:val="00F618CF"/>
    <w:rsid w:val="00F61C86"/>
    <w:rsid w:val="00F6710E"/>
    <w:rsid w:val="00FA1DC5"/>
    <w:rsid w:val="00FC1670"/>
    <w:rsid w:val="00FC5BF1"/>
    <w:rsid w:val="00FD2D93"/>
    <w:rsid w:val="00FD79EF"/>
    <w:rsid w:val="00FE5049"/>
    <w:rsid w:val="00FE6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0A7A"/>
  <w15:docId w15:val="{B8AC9B2F-B7F4-9B43-BB5F-7D5917F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CD5"/>
    <w:pPr>
      <w:ind w:left="720"/>
      <w:contextualSpacing/>
    </w:pPr>
  </w:style>
  <w:style w:type="paragraph" w:styleId="Corpsdetexte">
    <w:name w:val="Body Text"/>
    <w:basedOn w:val="Normal"/>
    <w:link w:val="CorpsdetexteCar"/>
    <w:uiPriority w:val="1"/>
    <w:qFormat/>
    <w:rsid w:val="003D70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3D7031"/>
    <w:rPr>
      <w:rFonts w:ascii="Times New Roman" w:eastAsia="Times New Roman" w:hAnsi="Times New Roman" w:cs="Times New Roman"/>
      <w:sz w:val="24"/>
      <w:szCs w:val="24"/>
    </w:rPr>
  </w:style>
  <w:style w:type="paragraph" w:styleId="Sansinterligne">
    <w:name w:val="No Spacing"/>
    <w:uiPriority w:val="1"/>
    <w:qFormat/>
    <w:rsid w:val="00056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5</Pages>
  <Words>1939</Words>
  <Characters>10667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kumba</dc:creator>
  <cp:lastModifiedBy>Utilisateur Microsoft Office</cp:lastModifiedBy>
  <cp:revision>77</cp:revision>
  <cp:lastPrinted>2021-10-04T01:36:00Z</cp:lastPrinted>
  <dcterms:created xsi:type="dcterms:W3CDTF">2021-09-16T18:21:00Z</dcterms:created>
  <dcterms:modified xsi:type="dcterms:W3CDTF">2021-10-04T05:09:00Z</dcterms:modified>
</cp:coreProperties>
</file>