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0AF9" w:rsidRPr="00880AF9" w:rsidRDefault="00880AF9" w:rsidP="00880AF9">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880AF9">
        <w:rPr>
          <w:rFonts w:ascii="Times New Roman" w:eastAsia="Times New Roman" w:hAnsi="Times New Roman" w:cs="Times New Roman"/>
          <w:b/>
          <w:bCs/>
          <w:kern w:val="36"/>
          <w:sz w:val="48"/>
          <w:szCs w:val="48"/>
          <w:lang w:eastAsia="fr-FR"/>
        </w:rPr>
        <w:t>Témoins de Jéhovah : la Cour européenne des droits de l'homme condamne la France</w:t>
      </w:r>
    </w:p>
    <w:p w:rsidR="00880AF9" w:rsidRPr="00880AF9" w:rsidRDefault="00880AF9" w:rsidP="00880AF9">
      <w:pPr>
        <w:spacing w:before="100" w:beforeAutospacing="1" w:after="100" w:afterAutospacing="1" w:line="240" w:lineRule="auto"/>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La CEDH estime que la France a violé le droit à la liberté religieuse des Témoins de Jéhovah. Une première.</w:t>
      </w:r>
    </w:p>
    <w:p w:rsidR="00880AF9" w:rsidRPr="00880AF9" w:rsidRDefault="00880AF9" w:rsidP="00880AF9">
      <w:pPr>
        <w:spacing w:before="100" w:beforeAutospacing="1" w:after="100" w:afterAutospacing="1" w:line="240" w:lineRule="auto"/>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LE MONDE</w:t>
      </w:r>
      <w:r>
        <w:rPr>
          <w:rFonts w:ascii="Times New Roman" w:eastAsia="Times New Roman" w:hAnsi="Times New Roman" w:cs="Times New Roman"/>
          <w:sz w:val="24"/>
          <w:szCs w:val="24"/>
          <w:lang w:eastAsia="fr-FR"/>
        </w:rPr>
        <w:t xml:space="preserve"> </w:t>
      </w:r>
      <w:r w:rsidRPr="00880AF9">
        <w:rPr>
          <w:rFonts w:ascii="Times New Roman" w:eastAsia="Times New Roman" w:hAnsi="Times New Roman" w:cs="Times New Roman"/>
          <w:sz w:val="24"/>
          <w:szCs w:val="24"/>
          <w:lang w:eastAsia="fr-FR"/>
        </w:rPr>
        <w:t xml:space="preserve"> pour Le Monde.fr | 30.06.2011 à 15h26 | Par Stéphanie Le Bars</w:t>
      </w:r>
    </w:p>
    <w:p w:rsidR="00880AF9" w:rsidRPr="00880AF9" w:rsidRDefault="00880AF9" w:rsidP="00880AF9">
      <w:pPr>
        <w:spacing w:before="100" w:beforeAutospacing="1" w:after="100" w:afterAutospacing="1" w:line="240" w:lineRule="auto"/>
        <w:jc w:val="both"/>
        <w:outlineLvl w:val="1"/>
        <w:rPr>
          <w:rFonts w:ascii="Times New Roman" w:eastAsia="Times New Roman" w:hAnsi="Times New Roman" w:cs="Times New Roman"/>
          <w:b/>
          <w:bCs/>
          <w:sz w:val="36"/>
          <w:szCs w:val="36"/>
          <w:lang w:eastAsia="fr-FR"/>
        </w:rPr>
      </w:pPr>
      <w:r w:rsidRPr="00880AF9">
        <w:rPr>
          <w:rFonts w:ascii="Times New Roman" w:eastAsia="Times New Roman" w:hAnsi="Times New Roman" w:cs="Times New Roman"/>
          <w:b/>
          <w:bCs/>
          <w:sz w:val="36"/>
          <w:szCs w:val="36"/>
          <w:lang w:eastAsia="fr-FR"/>
        </w:rPr>
        <w:t xml:space="preserve">C'est un arrêt qui fera date. Pour la première fois, la Cour européenne des droits de l'homme (CEDH) a reconnu, jeudi 30 juin, que le gouvernement français avait violé l'article 9 de la convention européenne sur la liberté religieuse. Plus significatif encore, cette condamnation intervient dans une affaire qui opposait l'Etat aux Témoins de Jéhovah (TJ), dont le statut d'association cultuelle est régulièrement mis en question par les administrations françaises, en dépit de décisions de </w:t>
      </w:r>
      <w:hyperlink r:id="rId5" w:tooltip="Toute l’actualité justice" w:history="1">
        <w:r w:rsidRPr="00880AF9">
          <w:rPr>
            <w:rFonts w:ascii="Times New Roman" w:eastAsia="Times New Roman" w:hAnsi="Times New Roman" w:cs="Times New Roman"/>
            <w:b/>
            <w:bCs/>
            <w:color w:val="0000FF"/>
            <w:sz w:val="36"/>
            <w:szCs w:val="36"/>
            <w:u w:val="single"/>
            <w:lang w:eastAsia="fr-FR"/>
          </w:rPr>
          <w:t>justice</w:t>
        </w:r>
      </w:hyperlink>
      <w:r w:rsidRPr="00880AF9">
        <w:rPr>
          <w:rFonts w:ascii="Times New Roman" w:eastAsia="Times New Roman" w:hAnsi="Times New Roman" w:cs="Times New Roman"/>
          <w:b/>
          <w:bCs/>
          <w:sz w:val="36"/>
          <w:szCs w:val="36"/>
          <w:lang w:eastAsia="fr-FR"/>
        </w:rPr>
        <w:t xml:space="preserve"> qui lui reconnaissent ce statut.</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 xml:space="preserve">L'arrêt de la CEDH, – qui peut encore </w:t>
      </w:r>
      <w:hyperlink r:id="rId6" w:tgtFrame="_blank" w:tooltip="Conjugaison du verbe faire" w:history="1">
        <w:r w:rsidRPr="00880AF9">
          <w:rPr>
            <w:rFonts w:ascii="Times New Roman" w:eastAsia="Times New Roman" w:hAnsi="Times New Roman" w:cs="Times New Roman"/>
            <w:color w:val="0000FF"/>
            <w:sz w:val="24"/>
            <w:szCs w:val="24"/>
            <w:u w:val="single"/>
            <w:lang w:eastAsia="fr-FR"/>
          </w:rPr>
          <w:t>faire</w:t>
        </w:r>
      </w:hyperlink>
      <w:r w:rsidRPr="00880AF9">
        <w:rPr>
          <w:rFonts w:ascii="Times New Roman" w:eastAsia="Times New Roman" w:hAnsi="Times New Roman" w:cs="Times New Roman"/>
          <w:sz w:val="24"/>
          <w:szCs w:val="24"/>
          <w:lang w:eastAsia="fr-FR"/>
        </w:rPr>
        <w:t xml:space="preserve"> l'objet d'un renvoi devant la grande chambre de la cour –, concerne un contentieux, qui opposait depuis plus de quinze ans l'association des Témoins de Jéhovah à l'administration fiscale française. </w:t>
      </w:r>
      <w:r w:rsidRPr="00880AF9">
        <w:rPr>
          <w:rFonts w:ascii="Times New Roman" w:eastAsia="Times New Roman" w:hAnsi="Times New Roman" w:cs="Times New Roman"/>
          <w:i/>
          <w:iCs/>
          <w:sz w:val="24"/>
          <w:szCs w:val="24"/>
          <w:lang w:eastAsia="fr-FR"/>
        </w:rPr>
        <w:t>"C'est une victoire"</w:t>
      </w:r>
      <w:r w:rsidRPr="00880AF9">
        <w:rPr>
          <w:rFonts w:ascii="Times New Roman" w:eastAsia="Times New Roman" w:hAnsi="Times New Roman" w:cs="Times New Roman"/>
          <w:sz w:val="24"/>
          <w:szCs w:val="24"/>
          <w:lang w:eastAsia="fr-FR"/>
        </w:rPr>
        <w:t xml:space="preserve">, déclare au </w:t>
      </w:r>
      <w:r w:rsidRPr="00880AF9">
        <w:rPr>
          <w:rFonts w:ascii="Times New Roman" w:eastAsia="Times New Roman" w:hAnsi="Times New Roman" w:cs="Times New Roman"/>
          <w:i/>
          <w:iCs/>
          <w:sz w:val="24"/>
          <w:szCs w:val="24"/>
          <w:lang w:eastAsia="fr-FR"/>
        </w:rPr>
        <w:t>Monde</w:t>
      </w:r>
      <w:r w:rsidRPr="00880AF9">
        <w:rPr>
          <w:rFonts w:ascii="Times New Roman" w:eastAsia="Times New Roman" w:hAnsi="Times New Roman" w:cs="Times New Roman"/>
          <w:sz w:val="24"/>
          <w:szCs w:val="24"/>
          <w:lang w:eastAsia="fr-FR"/>
        </w:rPr>
        <w:t xml:space="preserve"> l'avocat des TJ, Philippe </w:t>
      </w:r>
      <w:proofErr w:type="spellStart"/>
      <w:r w:rsidRPr="00880AF9">
        <w:rPr>
          <w:rFonts w:ascii="Times New Roman" w:eastAsia="Times New Roman" w:hAnsi="Times New Roman" w:cs="Times New Roman"/>
          <w:sz w:val="24"/>
          <w:szCs w:val="24"/>
          <w:lang w:eastAsia="fr-FR"/>
        </w:rPr>
        <w:t>Goni</w:t>
      </w:r>
      <w:proofErr w:type="spellEnd"/>
      <w:r w:rsidRPr="00880AF9">
        <w:rPr>
          <w:rFonts w:ascii="Times New Roman" w:eastAsia="Times New Roman" w:hAnsi="Times New Roman" w:cs="Times New Roman"/>
          <w:sz w:val="24"/>
          <w:szCs w:val="24"/>
          <w:lang w:eastAsia="fr-FR"/>
        </w:rPr>
        <w:t xml:space="preserve">, qui souligne </w:t>
      </w:r>
      <w:r w:rsidRPr="00880AF9">
        <w:rPr>
          <w:rFonts w:ascii="Times New Roman" w:eastAsia="Times New Roman" w:hAnsi="Times New Roman" w:cs="Times New Roman"/>
          <w:i/>
          <w:iCs/>
          <w:sz w:val="24"/>
          <w:szCs w:val="24"/>
          <w:lang w:eastAsia="fr-FR"/>
        </w:rPr>
        <w:t>"l'unanimité"</w:t>
      </w:r>
      <w:r w:rsidRPr="00880AF9">
        <w:rPr>
          <w:rFonts w:ascii="Times New Roman" w:eastAsia="Times New Roman" w:hAnsi="Times New Roman" w:cs="Times New Roman"/>
          <w:sz w:val="24"/>
          <w:szCs w:val="24"/>
          <w:lang w:eastAsia="fr-FR"/>
        </w:rPr>
        <w:t xml:space="preserve"> des sept juges européens, dont le Français Jean-Paul Costa.</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b/>
          <w:bCs/>
          <w:sz w:val="24"/>
          <w:szCs w:val="24"/>
          <w:lang w:eastAsia="fr-FR"/>
        </w:rPr>
        <w:t>UNE TAXATION QUI MENACE L'ASSOCIATION</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 xml:space="preserve">Qualifiés de </w:t>
      </w:r>
      <w:r w:rsidRPr="00880AF9">
        <w:rPr>
          <w:rFonts w:ascii="Times New Roman" w:eastAsia="Times New Roman" w:hAnsi="Times New Roman" w:cs="Times New Roman"/>
          <w:i/>
          <w:iCs/>
          <w:sz w:val="24"/>
          <w:szCs w:val="24"/>
          <w:lang w:eastAsia="fr-FR"/>
        </w:rPr>
        <w:t>"secte"</w:t>
      </w:r>
      <w:r w:rsidRPr="00880AF9">
        <w:rPr>
          <w:rFonts w:ascii="Times New Roman" w:eastAsia="Times New Roman" w:hAnsi="Times New Roman" w:cs="Times New Roman"/>
          <w:sz w:val="24"/>
          <w:szCs w:val="24"/>
          <w:lang w:eastAsia="fr-FR"/>
        </w:rPr>
        <w:t xml:space="preserve"> dans le rapport de l'assemblée nationale de 1995 publié sur ce sujet – et reconnu depuis caduque –, les Témoins de Jéhovah ont, à </w:t>
      </w:r>
      <w:hyperlink r:id="rId7" w:tgtFrame="_blank" w:tooltip="Conjugaison du verbe partir" w:history="1">
        <w:r w:rsidRPr="00880AF9">
          <w:rPr>
            <w:rFonts w:ascii="Times New Roman" w:eastAsia="Times New Roman" w:hAnsi="Times New Roman" w:cs="Times New Roman"/>
            <w:color w:val="0000FF"/>
            <w:sz w:val="24"/>
            <w:szCs w:val="24"/>
            <w:u w:val="single"/>
            <w:lang w:eastAsia="fr-FR"/>
          </w:rPr>
          <w:t>partir</w:t>
        </w:r>
      </w:hyperlink>
      <w:r w:rsidRPr="00880AF9">
        <w:rPr>
          <w:rFonts w:ascii="Times New Roman" w:eastAsia="Times New Roman" w:hAnsi="Times New Roman" w:cs="Times New Roman"/>
          <w:sz w:val="24"/>
          <w:szCs w:val="24"/>
          <w:lang w:eastAsia="fr-FR"/>
        </w:rPr>
        <w:t xml:space="preserve"> de cette date, fait l'objet de plusieurs contrôles fiscaux. L'association contestait ces contrôles, qui portaient sur les </w:t>
      </w:r>
      <w:r w:rsidRPr="00880AF9">
        <w:rPr>
          <w:rFonts w:ascii="Times New Roman" w:eastAsia="Times New Roman" w:hAnsi="Times New Roman" w:cs="Times New Roman"/>
          <w:i/>
          <w:iCs/>
          <w:sz w:val="24"/>
          <w:szCs w:val="24"/>
          <w:lang w:eastAsia="fr-FR"/>
        </w:rPr>
        <w:t>"dons manuels"</w:t>
      </w:r>
      <w:r w:rsidRPr="00880AF9">
        <w:rPr>
          <w:rFonts w:ascii="Times New Roman" w:eastAsia="Times New Roman" w:hAnsi="Times New Roman" w:cs="Times New Roman"/>
          <w:sz w:val="24"/>
          <w:szCs w:val="24"/>
          <w:lang w:eastAsia="fr-FR"/>
        </w:rPr>
        <w:t xml:space="preserve">, – les offrandes des fidèles. Elle a donc saisi la justice dès l'ouverture de ces procédures fiscales. Le contentieux portait sur la question de </w:t>
      </w:r>
      <w:hyperlink r:id="rId8" w:tgtFrame="_blank" w:tooltip="Conjugaison du verbe savoir" w:history="1">
        <w:r w:rsidRPr="00880AF9">
          <w:rPr>
            <w:rFonts w:ascii="Times New Roman" w:eastAsia="Times New Roman" w:hAnsi="Times New Roman" w:cs="Times New Roman"/>
            <w:color w:val="0000FF"/>
            <w:sz w:val="24"/>
            <w:szCs w:val="24"/>
            <w:u w:val="single"/>
            <w:lang w:eastAsia="fr-FR"/>
          </w:rPr>
          <w:t>savoir</w:t>
        </w:r>
      </w:hyperlink>
      <w:r w:rsidRPr="00880AF9">
        <w:rPr>
          <w:rFonts w:ascii="Times New Roman" w:eastAsia="Times New Roman" w:hAnsi="Times New Roman" w:cs="Times New Roman"/>
          <w:sz w:val="24"/>
          <w:szCs w:val="24"/>
          <w:lang w:eastAsia="fr-FR"/>
        </w:rPr>
        <w:t xml:space="preserve"> si ces offrandes devaient ou non </w:t>
      </w:r>
      <w:hyperlink r:id="rId9" w:tgtFrame="_blank" w:tooltip="Conjugaison du verbe bénéficier" w:history="1">
        <w:r w:rsidRPr="00880AF9">
          <w:rPr>
            <w:rFonts w:ascii="Times New Roman" w:eastAsia="Times New Roman" w:hAnsi="Times New Roman" w:cs="Times New Roman"/>
            <w:color w:val="0000FF"/>
            <w:sz w:val="24"/>
            <w:szCs w:val="24"/>
            <w:u w:val="single"/>
            <w:lang w:eastAsia="fr-FR"/>
          </w:rPr>
          <w:t>bénéficier</w:t>
        </w:r>
      </w:hyperlink>
      <w:r w:rsidRPr="00880AF9">
        <w:rPr>
          <w:rFonts w:ascii="Times New Roman" w:eastAsia="Times New Roman" w:hAnsi="Times New Roman" w:cs="Times New Roman"/>
          <w:sz w:val="24"/>
          <w:szCs w:val="24"/>
          <w:lang w:eastAsia="fr-FR"/>
        </w:rPr>
        <w:t xml:space="preserve"> de l'exonération fiscale qui prévaut pour les dons et legs faits aux associations cultuelles et aux congrégations.</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i/>
          <w:iCs/>
          <w:sz w:val="24"/>
          <w:szCs w:val="24"/>
          <w:lang w:eastAsia="fr-FR"/>
        </w:rPr>
        <w:t>"Le fisc estimait que les dons révélés au cours de son contrôle devenaient taxables à hauteur de 60 % de leur montant pour les années 1993 à 1996, soit un montant de près de 23 millions d'euros"</w:t>
      </w:r>
      <w:r w:rsidRPr="00880AF9">
        <w:rPr>
          <w:rFonts w:ascii="Times New Roman" w:eastAsia="Times New Roman" w:hAnsi="Times New Roman" w:cs="Times New Roman"/>
          <w:sz w:val="24"/>
          <w:szCs w:val="24"/>
          <w:lang w:eastAsia="fr-FR"/>
        </w:rPr>
        <w:t>, résume M</w:t>
      </w:r>
      <w:r w:rsidRPr="00880AF9">
        <w:rPr>
          <w:rFonts w:ascii="Times New Roman" w:eastAsia="Times New Roman" w:hAnsi="Times New Roman" w:cs="Times New Roman"/>
          <w:sz w:val="24"/>
          <w:szCs w:val="24"/>
          <w:vertAlign w:val="superscript"/>
          <w:lang w:eastAsia="fr-FR"/>
        </w:rPr>
        <w:t>e</w:t>
      </w:r>
      <w:r w:rsidRPr="00880AF9">
        <w:rPr>
          <w:rFonts w:ascii="Times New Roman" w:eastAsia="Times New Roman" w:hAnsi="Times New Roman" w:cs="Times New Roman"/>
          <w:sz w:val="24"/>
          <w:szCs w:val="24"/>
          <w:lang w:eastAsia="fr-FR"/>
        </w:rPr>
        <w:t xml:space="preserve"> </w:t>
      </w:r>
      <w:proofErr w:type="spellStart"/>
      <w:r w:rsidRPr="00880AF9">
        <w:rPr>
          <w:rFonts w:ascii="Times New Roman" w:eastAsia="Times New Roman" w:hAnsi="Times New Roman" w:cs="Times New Roman"/>
          <w:sz w:val="24"/>
          <w:szCs w:val="24"/>
          <w:lang w:eastAsia="fr-FR"/>
        </w:rPr>
        <w:t>Goni</w:t>
      </w:r>
      <w:proofErr w:type="spellEnd"/>
      <w:r w:rsidRPr="00880AF9">
        <w:rPr>
          <w:rFonts w:ascii="Times New Roman" w:eastAsia="Times New Roman" w:hAnsi="Times New Roman" w:cs="Times New Roman"/>
          <w:sz w:val="24"/>
          <w:szCs w:val="24"/>
          <w:lang w:eastAsia="fr-FR"/>
        </w:rPr>
        <w:t>. La somme réclamée par l'administration fiscale s'élève aujourd‘hui, après calcul des pénalités, à 57,5 millions d'euros, rappelle la CEDH dans son arrêt.</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 xml:space="preserve">L'association estimait que cette procédure fiscale constituait une discrimination par rapport aux autres associations et qu'elle allait en outre à l'encontre de sa liberté de religion. C'est ce </w:t>
      </w:r>
      <w:r w:rsidRPr="00880AF9">
        <w:rPr>
          <w:rFonts w:ascii="Times New Roman" w:eastAsia="Times New Roman" w:hAnsi="Times New Roman" w:cs="Times New Roman"/>
          <w:sz w:val="24"/>
          <w:szCs w:val="24"/>
          <w:lang w:eastAsia="fr-FR"/>
        </w:rPr>
        <w:lastRenderedPageBreak/>
        <w:t xml:space="preserve">deuxième point que la cour a reconnu en rappelant que </w:t>
      </w:r>
      <w:r w:rsidRPr="00880AF9">
        <w:rPr>
          <w:rFonts w:ascii="Times New Roman" w:eastAsia="Times New Roman" w:hAnsi="Times New Roman" w:cs="Times New Roman"/>
          <w:i/>
          <w:iCs/>
          <w:sz w:val="24"/>
          <w:szCs w:val="24"/>
          <w:lang w:eastAsia="fr-FR"/>
        </w:rPr>
        <w:t>"ces dons constituaient la source essentielle de son financement"</w:t>
      </w:r>
      <w:r w:rsidRPr="00880AF9">
        <w:rPr>
          <w:rFonts w:ascii="Times New Roman" w:eastAsia="Times New Roman" w:hAnsi="Times New Roman" w:cs="Times New Roman"/>
          <w:sz w:val="24"/>
          <w:szCs w:val="24"/>
          <w:lang w:eastAsia="fr-FR"/>
        </w:rPr>
        <w:t xml:space="preserve"> ; </w:t>
      </w:r>
      <w:r w:rsidRPr="00880AF9">
        <w:rPr>
          <w:rFonts w:ascii="Times New Roman" w:eastAsia="Times New Roman" w:hAnsi="Times New Roman" w:cs="Times New Roman"/>
          <w:i/>
          <w:iCs/>
          <w:sz w:val="24"/>
          <w:szCs w:val="24"/>
          <w:lang w:eastAsia="fr-FR"/>
        </w:rPr>
        <w:t>"Il y a donc bien eu ingérence dans le droit de l'association requérante à la liberté de religion"</w:t>
      </w:r>
      <w:r w:rsidRPr="00880AF9">
        <w:rPr>
          <w:rFonts w:ascii="Times New Roman" w:eastAsia="Times New Roman" w:hAnsi="Times New Roman" w:cs="Times New Roman"/>
          <w:sz w:val="24"/>
          <w:szCs w:val="24"/>
          <w:lang w:eastAsia="fr-FR"/>
        </w:rPr>
        <w:t xml:space="preserve">. Ils soulignent que la taxation </w:t>
      </w:r>
      <w:r w:rsidRPr="00880AF9">
        <w:rPr>
          <w:rFonts w:ascii="Times New Roman" w:eastAsia="Times New Roman" w:hAnsi="Times New Roman" w:cs="Times New Roman"/>
          <w:i/>
          <w:iCs/>
          <w:sz w:val="24"/>
          <w:szCs w:val="24"/>
          <w:lang w:eastAsia="fr-FR"/>
        </w:rPr>
        <w:t xml:space="preserve">"a menacé la pérennité, sinon entravé sérieusement l'organisation interne, le fonctionnement de l'association et ses activités religieuses, étant observé que les </w:t>
      </w:r>
      <w:hyperlink r:id="rId10" w:tooltip="Toute l’actualité lieux" w:history="1">
        <w:r w:rsidRPr="00880AF9">
          <w:rPr>
            <w:rFonts w:ascii="Times New Roman" w:eastAsia="Times New Roman" w:hAnsi="Times New Roman" w:cs="Times New Roman"/>
            <w:i/>
            <w:iCs/>
            <w:color w:val="0000FF"/>
            <w:sz w:val="24"/>
            <w:szCs w:val="24"/>
            <w:u w:val="single"/>
            <w:lang w:eastAsia="fr-FR"/>
          </w:rPr>
          <w:t>lieux</w:t>
        </w:r>
      </w:hyperlink>
      <w:r w:rsidRPr="00880AF9">
        <w:rPr>
          <w:rFonts w:ascii="Times New Roman" w:eastAsia="Times New Roman" w:hAnsi="Times New Roman" w:cs="Times New Roman"/>
          <w:i/>
          <w:iCs/>
          <w:sz w:val="24"/>
          <w:szCs w:val="24"/>
          <w:lang w:eastAsia="fr-FR"/>
        </w:rPr>
        <w:t xml:space="preserve"> de culte étaient eux-mêmes visés"</w:t>
      </w:r>
      <w:r w:rsidRPr="00880AF9">
        <w:rPr>
          <w:rFonts w:ascii="Times New Roman" w:eastAsia="Times New Roman" w:hAnsi="Times New Roman" w:cs="Times New Roman"/>
          <w:sz w:val="24"/>
          <w:szCs w:val="24"/>
          <w:lang w:eastAsia="fr-FR"/>
        </w:rPr>
        <w:t>. L'administration fiscale a en effet mis sous séquestre, depuis 1998, les biens immobiliers appartenant à l'association des TJ.</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 xml:space="preserve">La cour a estimé que l'article du code général des </w:t>
      </w:r>
      <w:hyperlink r:id="rId11" w:tooltip="Toute l’actualité impôts" w:history="1">
        <w:r w:rsidRPr="00880AF9">
          <w:rPr>
            <w:rFonts w:ascii="Times New Roman" w:eastAsia="Times New Roman" w:hAnsi="Times New Roman" w:cs="Times New Roman"/>
            <w:color w:val="0000FF"/>
            <w:sz w:val="24"/>
            <w:szCs w:val="24"/>
            <w:u w:val="single"/>
            <w:lang w:eastAsia="fr-FR"/>
          </w:rPr>
          <w:t>impôts</w:t>
        </w:r>
      </w:hyperlink>
      <w:r w:rsidRPr="00880AF9">
        <w:rPr>
          <w:rFonts w:ascii="Times New Roman" w:eastAsia="Times New Roman" w:hAnsi="Times New Roman" w:cs="Times New Roman"/>
          <w:sz w:val="24"/>
          <w:szCs w:val="24"/>
          <w:lang w:eastAsia="fr-FR"/>
        </w:rPr>
        <w:t xml:space="preserve"> sur lequel se fondait l'administration fiscale pour </w:t>
      </w:r>
      <w:hyperlink r:id="rId12" w:tgtFrame="_blank" w:tooltip="Conjugaison du verbe taxer" w:history="1">
        <w:r w:rsidRPr="00880AF9">
          <w:rPr>
            <w:rFonts w:ascii="Times New Roman" w:eastAsia="Times New Roman" w:hAnsi="Times New Roman" w:cs="Times New Roman"/>
            <w:color w:val="0000FF"/>
            <w:sz w:val="24"/>
            <w:szCs w:val="24"/>
            <w:u w:val="single"/>
            <w:lang w:eastAsia="fr-FR"/>
          </w:rPr>
          <w:t>taxer</w:t>
        </w:r>
      </w:hyperlink>
      <w:r w:rsidRPr="00880AF9">
        <w:rPr>
          <w:rFonts w:ascii="Times New Roman" w:eastAsia="Times New Roman" w:hAnsi="Times New Roman" w:cs="Times New Roman"/>
          <w:sz w:val="24"/>
          <w:szCs w:val="24"/>
          <w:lang w:eastAsia="fr-FR"/>
        </w:rPr>
        <w:t xml:space="preserve"> les dons des TJ n'était ni assez </w:t>
      </w:r>
      <w:r w:rsidRPr="00880AF9">
        <w:rPr>
          <w:rFonts w:ascii="Times New Roman" w:eastAsia="Times New Roman" w:hAnsi="Times New Roman" w:cs="Times New Roman"/>
          <w:i/>
          <w:iCs/>
          <w:sz w:val="24"/>
          <w:szCs w:val="24"/>
          <w:lang w:eastAsia="fr-FR"/>
        </w:rPr>
        <w:t>"précis"</w:t>
      </w:r>
      <w:r w:rsidRPr="00880AF9">
        <w:rPr>
          <w:rFonts w:ascii="Times New Roman" w:eastAsia="Times New Roman" w:hAnsi="Times New Roman" w:cs="Times New Roman"/>
          <w:sz w:val="24"/>
          <w:szCs w:val="24"/>
          <w:lang w:eastAsia="fr-FR"/>
        </w:rPr>
        <w:t xml:space="preserve"> ni assez </w:t>
      </w:r>
      <w:r w:rsidRPr="00880AF9">
        <w:rPr>
          <w:rFonts w:ascii="Times New Roman" w:eastAsia="Times New Roman" w:hAnsi="Times New Roman" w:cs="Times New Roman"/>
          <w:i/>
          <w:iCs/>
          <w:sz w:val="24"/>
          <w:szCs w:val="24"/>
          <w:lang w:eastAsia="fr-FR"/>
        </w:rPr>
        <w:t>"prévisible"</w:t>
      </w:r>
      <w:r w:rsidRPr="00880AF9">
        <w:rPr>
          <w:rFonts w:ascii="Times New Roman" w:eastAsia="Times New Roman" w:hAnsi="Times New Roman" w:cs="Times New Roman"/>
          <w:sz w:val="24"/>
          <w:szCs w:val="24"/>
          <w:lang w:eastAsia="fr-FR"/>
        </w:rPr>
        <w:t>. Elle renvoie en revanche à une date ultérieure la question de l'annulation du redressement et la restitution des sommes saisies (4,5 millions d'euros plus les intérêts), tablant visiblement sur un accord entre les deux parties.</w:t>
      </w:r>
      <w:r w:rsidRPr="00880AF9">
        <w:rPr>
          <w:rFonts w:ascii="Times New Roman" w:eastAsia="Times New Roman" w:hAnsi="Times New Roman" w:cs="Times New Roman"/>
          <w:sz w:val="24"/>
          <w:szCs w:val="24"/>
          <w:lang w:eastAsia="fr-FR"/>
        </w:rPr>
        <w:br/>
        <w:t xml:space="preserve">Des règlements à l'amiable ont déjà été envisagés ces derniers mois. Ils ont notamment buté sur le refus des TJ de </w:t>
      </w:r>
      <w:hyperlink r:id="rId13" w:tgtFrame="_blank" w:tooltip="Conjugaison du verbe régler" w:history="1">
        <w:r w:rsidRPr="00880AF9">
          <w:rPr>
            <w:rFonts w:ascii="Times New Roman" w:eastAsia="Times New Roman" w:hAnsi="Times New Roman" w:cs="Times New Roman"/>
            <w:color w:val="0000FF"/>
            <w:sz w:val="24"/>
            <w:szCs w:val="24"/>
            <w:lang w:eastAsia="fr-FR"/>
          </w:rPr>
          <w:t>régler</w:t>
        </w:r>
      </w:hyperlink>
      <w:r w:rsidRPr="00880AF9">
        <w:rPr>
          <w:rFonts w:ascii="Times New Roman" w:eastAsia="Times New Roman" w:hAnsi="Times New Roman" w:cs="Times New Roman"/>
          <w:sz w:val="24"/>
          <w:szCs w:val="24"/>
          <w:lang w:eastAsia="fr-FR"/>
        </w:rPr>
        <w:t xml:space="preserve"> une partie des sommes dues et la nécessité pour le gouvernement de </w:t>
      </w:r>
      <w:hyperlink r:id="rId14" w:tgtFrame="_blank" w:tooltip="Conjugaison du verbe passer" w:history="1">
        <w:r w:rsidRPr="00880AF9">
          <w:rPr>
            <w:rFonts w:ascii="Times New Roman" w:eastAsia="Times New Roman" w:hAnsi="Times New Roman" w:cs="Times New Roman"/>
            <w:color w:val="0000FF"/>
            <w:sz w:val="24"/>
            <w:szCs w:val="24"/>
            <w:lang w:eastAsia="fr-FR"/>
          </w:rPr>
          <w:t>passer</w:t>
        </w:r>
      </w:hyperlink>
      <w:r w:rsidRPr="00880AF9">
        <w:rPr>
          <w:rFonts w:ascii="Times New Roman" w:eastAsia="Times New Roman" w:hAnsi="Times New Roman" w:cs="Times New Roman"/>
          <w:sz w:val="24"/>
          <w:szCs w:val="24"/>
          <w:lang w:eastAsia="fr-FR"/>
        </w:rPr>
        <w:t xml:space="preserve"> par le Parlement pour </w:t>
      </w:r>
      <w:hyperlink r:id="rId15" w:tgtFrame="_blank" w:tooltip="Conjugaison du verbe effacer" w:history="1">
        <w:r w:rsidRPr="00880AF9">
          <w:rPr>
            <w:rFonts w:ascii="Times New Roman" w:eastAsia="Times New Roman" w:hAnsi="Times New Roman" w:cs="Times New Roman"/>
            <w:color w:val="0000FF"/>
            <w:sz w:val="24"/>
            <w:szCs w:val="24"/>
            <w:u w:val="single"/>
            <w:lang w:eastAsia="fr-FR"/>
          </w:rPr>
          <w:t>effacer</w:t>
        </w:r>
      </w:hyperlink>
      <w:r w:rsidRPr="00880AF9">
        <w:rPr>
          <w:rFonts w:ascii="Times New Roman" w:eastAsia="Times New Roman" w:hAnsi="Times New Roman" w:cs="Times New Roman"/>
          <w:sz w:val="24"/>
          <w:szCs w:val="24"/>
          <w:lang w:eastAsia="fr-FR"/>
        </w:rPr>
        <w:t xml:space="preserve"> le recouvrement.</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i/>
          <w:iCs/>
          <w:sz w:val="24"/>
          <w:szCs w:val="24"/>
          <w:lang w:eastAsia="fr-FR"/>
        </w:rPr>
        <w:t>"La motivation de la Cour constitue un sérieux rappel à l'ordre pour tous ceux qui s'opposent au pluralisme religieux"</w:t>
      </w:r>
      <w:r w:rsidRPr="00880AF9">
        <w:rPr>
          <w:rFonts w:ascii="Times New Roman" w:eastAsia="Times New Roman" w:hAnsi="Times New Roman" w:cs="Times New Roman"/>
          <w:sz w:val="24"/>
          <w:szCs w:val="24"/>
          <w:lang w:eastAsia="fr-FR"/>
        </w:rPr>
        <w:t>, a estimé l'association des TJ dans un communiqué, jeudi.</w:t>
      </w:r>
    </w:p>
    <w:p w:rsidR="00880AF9" w:rsidRPr="00880AF9" w:rsidRDefault="00880AF9" w:rsidP="00880AF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t>Stéphanie Le Bars</w:t>
      </w:r>
    </w:p>
    <w:p w:rsidR="00880AF9" w:rsidRPr="00880AF9" w:rsidRDefault="00880AF9" w:rsidP="00880AF9">
      <w:pPr>
        <w:spacing w:after="0" w:line="240" w:lineRule="auto"/>
        <w:jc w:val="both"/>
        <w:rPr>
          <w:rFonts w:ascii="Times New Roman" w:eastAsia="Times New Roman" w:hAnsi="Times New Roman" w:cs="Times New Roman"/>
          <w:sz w:val="24"/>
          <w:szCs w:val="24"/>
          <w:lang w:eastAsia="fr-FR"/>
        </w:rPr>
      </w:pPr>
      <w:r w:rsidRPr="00880AF9">
        <w:rPr>
          <w:rFonts w:ascii="Times New Roman" w:eastAsia="Times New Roman" w:hAnsi="Times New Roman" w:cs="Times New Roman"/>
          <w:sz w:val="24"/>
          <w:szCs w:val="24"/>
          <w:lang w:eastAsia="fr-FR"/>
        </w:rPr>
        <w:br/>
      </w:r>
    </w:p>
    <w:p w:rsidR="00D16EE7" w:rsidRDefault="00D16EE7" w:rsidP="00880AF9">
      <w:pPr>
        <w:jc w:val="both"/>
      </w:pPr>
      <w:bookmarkStart w:id="0" w:name="_GoBack"/>
      <w:bookmarkEnd w:id="0"/>
    </w:p>
    <w:sectPr w:rsidR="00D16E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104"/>
    <w:rsid w:val="002B7104"/>
    <w:rsid w:val="00880AF9"/>
    <w:rsid w:val="00D16E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89296">
      <w:bodyDiv w:val="1"/>
      <w:marLeft w:val="0"/>
      <w:marRight w:val="0"/>
      <w:marTop w:val="0"/>
      <w:marBottom w:val="0"/>
      <w:divBdr>
        <w:top w:val="none" w:sz="0" w:space="0" w:color="auto"/>
        <w:left w:val="none" w:sz="0" w:space="0" w:color="auto"/>
        <w:bottom w:val="none" w:sz="0" w:space="0" w:color="auto"/>
        <w:right w:val="none" w:sz="0" w:space="0" w:color="auto"/>
      </w:divBdr>
      <w:divsChild>
        <w:div w:id="1753310438">
          <w:marLeft w:val="0"/>
          <w:marRight w:val="0"/>
          <w:marTop w:val="0"/>
          <w:marBottom w:val="0"/>
          <w:divBdr>
            <w:top w:val="none" w:sz="0" w:space="0" w:color="auto"/>
            <w:left w:val="none" w:sz="0" w:space="0" w:color="auto"/>
            <w:bottom w:val="none" w:sz="0" w:space="0" w:color="auto"/>
            <w:right w:val="none" w:sz="0" w:space="0" w:color="auto"/>
          </w:divBdr>
        </w:div>
      </w:divsChild>
    </w:div>
    <w:div w:id="77757255">
      <w:bodyDiv w:val="1"/>
      <w:marLeft w:val="0"/>
      <w:marRight w:val="0"/>
      <w:marTop w:val="0"/>
      <w:marBottom w:val="0"/>
      <w:divBdr>
        <w:top w:val="none" w:sz="0" w:space="0" w:color="auto"/>
        <w:left w:val="none" w:sz="0" w:space="0" w:color="auto"/>
        <w:bottom w:val="none" w:sz="0" w:space="0" w:color="auto"/>
        <w:right w:val="none" w:sz="0" w:space="0" w:color="auto"/>
      </w:divBdr>
      <w:divsChild>
        <w:div w:id="1132790577">
          <w:marLeft w:val="0"/>
          <w:marRight w:val="0"/>
          <w:marTop w:val="0"/>
          <w:marBottom w:val="0"/>
          <w:divBdr>
            <w:top w:val="none" w:sz="0" w:space="0" w:color="auto"/>
            <w:left w:val="none" w:sz="0" w:space="0" w:color="auto"/>
            <w:bottom w:val="none" w:sz="0" w:space="0" w:color="auto"/>
            <w:right w:val="none" w:sz="0" w:space="0" w:color="auto"/>
          </w:divBdr>
          <w:divsChild>
            <w:div w:id="180716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jugaison.lemonde.fr/conjugaison/troisieme-groupe/savoir/" TargetMode="External"/><Relationship Id="rId13" Type="http://schemas.openxmlformats.org/officeDocument/2006/relationships/hyperlink" Target="http://conjugaison.lemonde.fr/conjugaison/premier-groupe/r%C3%A9gler/" TargetMode="External"/><Relationship Id="rId3" Type="http://schemas.openxmlformats.org/officeDocument/2006/relationships/settings" Target="settings.xml"/><Relationship Id="rId7" Type="http://schemas.openxmlformats.org/officeDocument/2006/relationships/hyperlink" Target="http://conjugaison.lemonde.fr/conjugaison/troisieme-groupe/partir/" TargetMode="External"/><Relationship Id="rId12" Type="http://schemas.openxmlformats.org/officeDocument/2006/relationships/hyperlink" Target="http://conjugaison.lemonde.fr/conjugaison/premier-groupe/taxer/"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conjugaison.lemonde.fr/conjugaison/troisieme-groupe/faire/" TargetMode="External"/><Relationship Id="rId11" Type="http://schemas.openxmlformats.org/officeDocument/2006/relationships/hyperlink" Target="http://www.lemonde.fr/impots/" TargetMode="External"/><Relationship Id="rId5" Type="http://schemas.openxmlformats.org/officeDocument/2006/relationships/hyperlink" Target="http://www.lemonde.fr/justice/" TargetMode="External"/><Relationship Id="rId15" Type="http://schemas.openxmlformats.org/officeDocument/2006/relationships/hyperlink" Target="http://conjugaison.lemonde.fr/conjugaison/premier-groupe/effacer/" TargetMode="External"/><Relationship Id="rId10" Type="http://schemas.openxmlformats.org/officeDocument/2006/relationships/hyperlink" Target="http://www.lemonde.fr/m-beaute-le-lieu/" TargetMode="External"/><Relationship Id="rId4" Type="http://schemas.openxmlformats.org/officeDocument/2006/relationships/webSettings" Target="webSettings.xml"/><Relationship Id="rId9" Type="http://schemas.openxmlformats.org/officeDocument/2006/relationships/hyperlink" Target="http://conjugaison.lemonde.fr/conjugaison/premier-groupe/b%C3%A9n%C3%A9ficier/" TargetMode="External"/><Relationship Id="rId14" Type="http://schemas.openxmlformats.org/officeDocument/2006/relationships/hyperlink" Target="http://conjugaison.lemonde.fr/conjugaison/premier-groupe/passe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785</Words>
  <Characters>4319</Characters>
  <Application>Microsoft Office Word</Application>
  <DocSecurity>0</DocSecurity>
  <Lines>35</Lines>
  <Paragraphs>10</Paragraphs>
  <ScaleCrop>false</ScaleCrop>
  <Company>Université Bordeaux 4</Company>
  <LinksUpToDate>false</LinksUpToDate>
  <CharactersWithSpaces>5094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Pauthe</dc:creator>
  <cp:keywords/>
  <dc:description/>
  <cp:lastModifiedBy>Nicolas Pauthe</cp:lastModifiedBy>
  <cp:revision>3</cp:revision>
  <dcterms:created xsi:type="dcterms:W3CDTF">2016-11-26T11:50:00Z</dcterms:created>
  <dcterms:modified xsi:type="dcterms:W3CDTF">2016-11-26T11:52:00Z</dcterms:modified>
</cp:coreProperties>
</file>