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B1F6" w14:textId="77777777" w:rsidR="00E2788A" w:rsidRPr="00521BEF" w:rsidRDefault="00E2788A" w:rsidP="00E2788A">
      <w:pPr>
        <w:spacing w:after="0"/>
        <w:jc w:val="both"/>
        <w:rPr>
          <w:rFonts w:ascii="Times New Roman" w:hAnsi="Times New Roman" w:cs="Times New Roman"/>
          <w:b/>
          <w:bCs/>
          <w:sz w:val="24"/>
          <w:szCs w:val="24"/>
        </w:rPr>
      </w:pPr>
      <w:r w:rsidRPr="00521BEF">
        <w:rPr>
          <w:rFonts w:ascii="Times New Roman" w:hAnsi="Times New Roman" w:cs="Times New Roman"/>
          <w:b/>
          <w:bCs/>
          <w:iCs/>
          <w:color w:val="000000"/>
          <w:sz w:val="24"/>
          <w:szCs w:val="24"/>
          <w:u w:val="single"/>
        </w:rPr>
        <w:t>Document 2</w:t>
      </w:r>
      <w:r w:rsidRPr="00521BEF">
        <w:rPr>
          <w:rFonts w:ascii="Times New Roman" w:hAnsi="Times New Roman" w:cs="Times New Roman"/>
          <w:b/>
          <w:bCs/>
          <w:iCs/>
          <w:color w:val="000000"/>
          <w:sz w:val="24"/>
          <w:szCs w:val="24"/>
        </w:rPr>
        <w:t xml:space="preserve"> : </w:t>
      </w:r>
      <w:r w:rsidRPr="00521BEF">
        <w:rPr>
          <w:rFonts w:ascii="Times New Roman" w:hAnsi="Times New Roman" w:cs="Times New Roman"/>
          <w:sz w:val="24"/>
          <w:szCs w:val="24"/>
        </w:rPr>
        <w:t xml:space="preserve">CE, 18 juillet 2018, </w:t>
      </w:r>
      <w:proofErr w:type="spellStart"/>
      <w:r w:rsidRPr="00521BEF">
        <w:rPr>
          <w:rFonts w:ascii="Times New Roman" w:hAnsi="Times New Roman" w:cs="Times New Roman"/>
          <w:i/>
          <w:iCs/>
          <w:sz w:val="24"/>
          <w:szCs w:val="24"/>
        </w:rPr>
        <w:t>Chenouff</w:t>
      </w:r>
      <w:proofErr w:type="spellEnd"/>
      <w:r w:rsidRPr="00521BEF">
        <w:rPr>
          <w:rFonts w:ascii="Times New Roman" w:hAnsi="Times New Roman" w:cs="Times New Roman"/>
          <w:sz w:val="24"/>
          <w:szCs w:val="24"/>
        </w:rPr>
        <w:t>, n° 411156.</w:t>
      </w:r>
    </w:p>
    <w:p w14:paraId="2DF00BED" w14:textId="77777777" w:rsidR="00E2788A" w:rsidRPr="00521BEF" w:rsidRDefault="00E2788A" w:rsidP="00E2788A">
      <w:pPr>
        <w:spacing w:after="0"/>
        <w:jc w:val="both"/>
        <w:rPr>
          <w:rFonts w:ascii="Times New Roman" w:hAnsi="Times New Roman" w:cs="Times New Roman"/>
          <w:sz w:val="24"/>
          <w:szCs w:val="24"/>
        </w:rPr>
      </w:pPr>
    </w:p>
    <w:p w14:paraId="6D06499A" w14:textId="77777777" w:rsidR="00E2788A" w:rsidRPr="00521BEF" w:rsidRDefault="00E2788A" w:rsidP="00E2788A">
      <w:pPr>
        <w:spacing w:after="0"/>
        <w:jc w:val="both"/>
        <w:rPr>
          <w:rFonts w:ascii="Times New Roman" w:hAnsi="Times New Roman" w:cs="Times New Roman"/>
          <w:sz w:val="24"/>
          <w:szCs w:val="24"/>
        </w:rPr>
      </w:pPr>
      <w:r w:rsidRPr="00521BEF">
        <w:rPr>
          <w:rFonts w:ascii="Times New Roman" w:hAnsi="Times New Roman" w:cs="Times New Roman"/>
          <w:sz w:val="24"/>
          <w:szCs w:val="24"/>
        </w:rPr>
        <w:t xml:space="preserve">1. Considérant qu'il ressort des pièces du dossier soumis aux juges du fond que M. A...O..., caporal-chef affecté au 17ème régiment du génie parachutiste, a été assassiné le 15 mars 2012 à Montauban alors qu'il était dans la rue en tenue militaire, devant le guichet automatique d'une banque ; qu'estimant que des fautes avaient été commises par les services de renseignement dans la surveillance de M. K...G..., son assassin, les parents de M. O..., ses frère et </w:t>
      </w:r>
      <w:proofErr w:type="spellStart"/>
      <w:r w:rsidRPr="00521BEF">
        <w:rPr>
          <w:rFonts w:ascii="Times New Roman" w:hAnsi="Times New Roman" w:cs="Times New Roman"/>
          <w:sz w:val="24"/>
          <w:szCs w:val="24"/>
        </w:rPr>
        <w:t>soeur</w:t>
      </w:r>
      <w:proofErr w:type="spellEnd"/>
      <w:r w:rsidRPr="00521BEF">
        <w:rPr>
          <w:rFonts w:ascii="Times New Roman" w:hAnsi="Times New Roman" w:cs="Times New Roman"/>
          <w:sz w:val="24"/>
          <w:szCs w:val="24"/>
        </w:rPr>
        <w:t>, ainsi que la veuve de M.O..., agissant en son nom propre et en sa qualité de représentante légale de son fils mineur, les parents, la grand-mère et le frère de celle-ci ont adressé à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des demandes d'indemnisation préalable, qui ont été rejetées ; que le fonds de garantie des actes de terrorisme et d'autres infractions (FGTI) a également saisi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d'une demande tendant au remboursement des sommes versées aux proches de la victime ; que, par un jugement du 12 juillet 2016, le tribunal administratif de Nîmes a estimé que la responsabilité de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était engagée à raison des carences commises par les services de renseignement dans l'exercice de leur mission de prévention des actions terroristes et de surveillance des individus radicaux, du fait de l'absence de toute mesure de surveillance de M. K... </w:t>
      </w:r>
      <w:proofErr w:type="gramStart"/>
      <w:r w:rsidRPr="00521BEF">
        <w:rPr>
          <w:rFonts w:ascii="Times New Roman" w:hAnsi="Times New Roman" w:cs="Times New Roman"/>
          <w:sz w:val="24"/>
          <w:szCs w:val="24"/>
        </w:rPr>
        <w:t>G...</w:t>
      </w:r>
      <w:proofErr w:type="gramEnd"/>
      <w:r w:rsidRPr="00521BEF">
        <w:rPr>
          <w:rFonts w:ascii="Times New Roman" w:hAnsi="Times New Roman" w:cs="Times New Roman"/>
          <w:sz w:val="24"/>
          <w:szCs w:val="24"/>
        </w:rPr>
        <w:t>à son retour du Pakistan en 2011 ; qu'ayant évalué à un tiers la perte de chance de prévenir le décès d'A... O...ayant résulté de la faute ainsi commise, le tribunal a retenu qu'il y avait lieu de mettre à la charge de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la réparation du tiers des préjudices des requérants ; que les premiers juges ont condamné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à verser à la veuve de la victime la somme de 20 000 euros, dont 10 000 euros en qualité de représentante légale de son fils mineur, à la belle-mère de la victime la somme de 21 836,27 euros, à son beau-père la somme de 2 000 euros et au FGTI la somme de 5 000 euros ; qu'ils ont en revanche rejeté les conclusions indemnitaires des autres membres de la </w:t>
      </w:r>
      <w:proofErr w:type="spellStart"/>
      <w:r w:rsidRPr="00521BEF">
        <w:rPr>
          <w:rFonts w:ascii="Times New Roman" w:hAnsi="Times New Roman" w:cs="Times New Roman"/>
          <w:sz w:val="24"/>
          <w:szCs w:val="24"/>
        </w:rPr>
        <w:t>familleQ</w:t>
      </w:r>
      <w:proofErr w:type="spellEnd"/>
      <w:r w:rsidRPr="00521BEF">
        <w:rPr>
          <w:rFonts w:ascii="Times New Roman" w:hAnsi="Times New Roman" w:cs="Times New Roman"/>
          <w:sz w:val="24"/>
          <w:szCs w:val="24"/>
        </w:rPr>
        <w:t>...'A...O... ; que saisie par le ministre de l'intérieur, la cour administrative d'appel de Marseille a, par un arrêt du 4 avril 2017, annulé le jugement et rejeté la demande des consorts O...et du FGTI au motif que les services de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n'avaient pas commis de faute lourde en lien avec le décès d'A...O... ; que les consorts O...se pourvoient en cassation contre cet arrêt ;</w:t>
      </w:r>
    </w:p>
    <w:p w14:paraId="2542963A" w14:textId="77777777" w:rsidR="00E2788A" w:rsidRPr="00521BEF" w:rsidRDefault="00E2788A" w:rsidP="00E2788A">
      <w:pPr>
        <w:spacing w:after="0"/>
        <w:jc w:val="both"/>
        <w:rPr>
          <w:rFonts w:ascii="Times New Roman" w:hAnsi="Times New Roman" w:cs="Times New Roman"/>
          <w:sz w:val="24"/>
          <w:szCs w:val="24"/>
        </w:rPr>
      </w:pPr>
      <w:r w:rsidRPr="00521BEF">
        <w:rPr>
          <w:rFonts w:ascii="Times New Roman" w:hAnsi="Times New Roman" w:cs="Times New Roman"/>
          <w:sz w:val="24"/>
          <w:szCs w:val="24"/>
        </w:rPr>
        <w:br/>
        <w:t>2. Considérant, en premier lieu, qu'en jugeant que seule une faute lourde était de nature à engager la responsabilité de l'</w:t>
      </w:r>
      <w:proofErr w:type="spellStart"/>
      <w:r w:rsidRPr="00521BEF">
        <w:rPr>
          <w:rFonts w:ascii="Times New Roman" w:hAnsi="Times New Roman" w:cs="Times New Roman"/>
          <w:sz w:val="24"/>
          <w:szCs w:val="24"/>
        </w:rPr>
        <w:t>Etat</w:t>
      </w:r>
      <w:proofErr w:type="spellEnd"/>
      <w:r w:rsidRPr="00521BEF">
        <w:rPr>
          <w:rFonts w:ascii="Times New Roman" w:hAnsi="Times New Roman" w:cs="Times New Roman"/>
          <w:sz w:val="24"/>
          <w:szCs w:val="24"/>
        </w:rPr>
        <w:t xml:space="preserve"> à l'égard des victimes d'acte de terrorisme à raison des carences des services de renseignement dans la surveillance d'un individu ou d'un groupe d'individus, la cour n'a pas commis d'erreur de droit ;</w:t>
      </w:r>
    </w:p>
    <w:p w14:paraId="0689FD86" w14:textId="77777777" w:rsidR="00E2788A" w:rsidRPr="00521BEF" w:rsidRDefault="00E2788A" w:rsidP="00E2788A">
      <w:pPr>
        <w:spacing w:after="0"/>
        <w:jc w:val="both"/>
        <w:rPr>
          <w:rFonts w:ascii="Times New Roman" w:hAnsi="Times New Roman" w:cs="Times New Roman"/>
          <w:sz w:val="24"/>
          <w:szCs w:val="24"/>
        </w:rPr>
      </w:pPr>
      <w:r w:rsidRPr="00521BEF">
        <w:rPr>
          <w:rFonts w:ascii="Times New Roman" w:hAnsi="Times New Roman" w:cs="Times New Roman"/>
          <w:sz w:val="24"/>
          <w:szCs w:val="24"/>
        </w:rPr>
        <w:br/>
        <w:t>3. Considérant, en second lieu, qu'il ressort des pièces du dossier soumis aux juges du fond que M. K...G..., de nationalité française, était suivi par les services de renseignement de Toulouse depuis 2006 en raison de ses fréquentations au sein du milieu de l'islam radical ; qu'à la suite d'un voyage en Afghanistan à la fin de l'année 2010, il a fait l'objet, au cours du premier semestre 2011, d'une enquête approfondie de ces services, qui ont notamment procédé à une quarantaine de filatures ainsi qu'au contrôle de ses communications téléphoniques et électroniques ; qu'au retour d'un séjour au Pakistan effectué au cours de l'été 2011, Mohamed G...a été entendu au siège de la direction centrale du renseignement intérieur le 14 novembre 2011 ; que, postérieurement à cet entretien, il n'a plus fait l'objet de mesures de surveillance particulière avant l'attentat commis à l'encontre d'A...O... ;</w:t>
      </w:r>
    </w:p>
    <w:p w14:paraId="76CFB7F9" w14:textId="77777777" w:rsidR="00E2788A" w:rsidRPr="00521BEF" w:rsidRDefault="00E2788A" w:rsidP="00E2788A">
      <w:pPr>
        <w:spacing w:after="0"/>
        <w:jc w:val="both"/>
        <w:rPr>
          <w:rFonts w:ascii="Times New Roman" w:hAnsi="Times New Roman" w:cs="Times New Roman"/>
          <w:sz w:val="24"/>
          <w:szCs w:val="24"/>
        </w:rPr>
      </w:pPr>
      <w:r w:rsidRPr="00521BEF">
        <w:rPr>
          <w:rFonts w:ascii="Times New Roman" w:hAnsi="Times New Roman" w:cs="Times New Roman"/>
          <w:sz w:val="24"/>
          <w:szCs w:val="24"/>
        </w:rPr>
        <w:br/>
        <w:t xml:space="preserve">4. Considérant que la cour a relevé que l'enquête dont Mohamed G...avait fait l'objet au premier semestre 2011, si elle avait mis en évidence le profil radicalisé de l'intéressé et son comportement méfiant, n'avait pas permis de recueillir des indices suffisamment sérieux </w:t>
      </w:r>
      <w:r w:rsidRPr="00521BEF">
        <w:rPr>
          <w:rFonts w:ascii="Times New Roman" w:hAnsi="Times New Roman" w:cs="Times New Roman"/>
          <w:sz w:val="24"/>
          <w:szCs w:val="24"/>
        </w:rPr>
        <w:lastRenderedPageBreak/>
        <w:t xml:space="preserve">d'infraction en lien avec des actes terroristes, de nature à justifier l'ouverture d'une information judiciaire à l'encontre de l'intéressé ; que si la cour a constaté qu'au cours de l'audition du 14 novembre 2011, les agents de la direction centrale du renseignement intérieur, induits en erreur par l'attitude dissimulatrice de </w:t>
      </w:r>
      <w:proofErr w:type="spellStart"/>
      <w:r w:rsidRPr="00521BEF">
        <w:rPr>
          <w:rFonts w:ascii="Times New Roman" w:hAnsi="Times New Roman" w:cs="Times New Roman"/>
          <w:sz w:val="24"/>
          <w:szCs w:val="24"/>
        </w:rPr>
        <w:t>MohamedG</w:t>
      </w:r>
      <w:proofErr w:type="spellEnd"/>
      <w:r w:rsidRPr="00521BEF">
        <w:rPr>
          <w:rFonts w:ascii="Times New Roman" w:hAnsi="Times New Roman" w:cs="Times New Roman"/>
          <w:sz w:val="24"/>
          <w:szCs w:val="24"/>
        </w:rPr>
        <w:t>..., n'étaient pas parvenus à mettre en évidence son appartenance à un réseau djihadiste et l'existence de risques suffisamment avérés de préparation d'actes terroristes, elle a retenu que ni cette méprise sur la dangerosité de l'intéressé ni l'absence de reprise des mesures de surveillance qui en est résulté ne caractérisaient, eu égard aux moyens matériels dont disposaient les services de renseignement et aux difficultés particulières inhérentes à la prévention de ce type d'attentat terroriste, l'existence d'une faute lourde ; qu'en statuant ainsi, la cour, qui a suffisamment motivé son arrêt, n'a, eu égard à ses appréciations souveraines exemptes de dénaturation, pas commis d'erreur de qualification juridique ;</w:t>
      </w:r>
    </w:p>
    <w:p w14:paraId="1C8985AD" w14:textId="77777777" w:rsidR="0071027D" w:rsidRDefault="0071027D"/>
    <w:sectPr w:rsidR="0071027D" w:rsidSect="00CD7BD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9B67" w14:textId="77777777" w:rsidR="00126655" w:rsidRDefault="00126655" w:rsidP="00E2788A">
      <w:pPr>
        <w:spacing w:after="0" w:line="240" w:lineRule="auto"/>
      </w:pPr>
      <w:r>
        <w:separator/>
      </w:r>
    </w:p>
  </w:endnote>
  <w:endnote w:type="continuationSeparator" w:id="0">
    <w:p w14:paraId="6879DD4D" w14:textId="77777777" w:rsidR="00126655" w:rsidRDefault="00126655" w:rsidP="00E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76537376"/>
      <w:docPartObj>
        <w:docPartGallery w:val="Page Numbers (Bottom of Page)"/>
        <w:docPartUnique/>
      </w:docPartObj>
    </w:sdtPr>
    <w:sdtContent>
      <w:p w14:paraId="56B5ED6E" w14:textId="098BE5C4" w:rsidR="00E2788A" w:rsidRDefault="00E2788A" w:rsidP="005B06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B7AEB3" w14:textId="77777777" w:rsidR="00E2788A" w:rsidRDefault="00E2788A" w:rsidP="00E278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740535"/>
      <w:docPartObj>
        <w:docPartGallery w:val="Page Numbers (Bottom of Page)"/>
        <w:docPartUnique/>
      </w:docPartObj>
    </w:sdtPr>
    <w:sdtContent>
      <w:p w14:paraId="6C8089C6" w14:textId="498067A8" w:rsidR="00E2788A" w:rsidRDefault="00E2788A" w:rsidP="005B06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BAE65B3" w14:textId="77777777" w:rsidR="00E2788A" w:rsidRDefault="00E2788A" w:rsidP="00E2788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017D" w14:textId="77777777" w:rsidR="00126655" w:rsidRDefault="00126655" w:rsidP="00E2788A">
      <w:pPr>
        <w:spacing w:after="0" w:line="240" w:lineRule="auto"/>
      </w:pPr>
      <w:r>
        <w:separator/>
      </w:r>
    </w:p>
  </w:footnote>
  <w:footnote w:type="continuationSeparator" w:id="0">
    <w:p w14:paraId="735C4EB9" w14:textId="77777777" w:rsidR="00126655" w:rsidRDefault="00126655" w:rsidP="00E27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8A"/>
    <w:rsid w:val="00126655"/>
    <w:rsid w:val="004A7855"/>
    <w:rsid w:val="0071027D"/>
    <w:rsid w:val="00BC1111"/>
    <w:rsid w:val="00CD7BD9"/>
    <w:rsid w:val="00E2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B79906"/>
  <w15:chartTrackingRefBased/>
  <w15:docId w15:val="{D77C6E99-5FED-7247-BD81-1FC78D9B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8A"/>
    <w:pPr>
      <w:spacing w:after="160" w:line="259" w:lineRule="auto"/>
    </w:pPr>
    <w:rPr>
      <w:sz w:val="22"/>
      <w:szCs w:val="22"/>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 w:type="paragraph" w:styleId="Pieddepage">
    <w:name w:val="footer"/>
    <w:basedOn w:val="Normal"/>
    <w:link w:val="PieddepageCar"/>
    <w:uiPriority w:val="99"/>
    <w:unhideWhenUsed/>
    <w:rsid w:val="00E278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88A"/>
    <w:rPr>
      <w:sz w:val="22"/>
      <w:szCs w:val="22"/>
    </w:rPr>
  </w:style>
  <w:style w:type="character" w:styleId="Numrodepage">
    <w:name w:val="page number"/>
    <w:basedOn w:val="Policepardfaut"/>
    <w:uiPriority w:val="99"/>
    <w:semiHidden/>
    <w:unhideWhenUsed/>
    <w:rsid w:val="00E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4220</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1</cp:revision>
  <dcterms:created xsi:type="dcterms:W3CDTF">2023-02-23T20:28:00Z</dcterms:created>
  <dcterms:modified xsi:type="dcterms:W3CDTF">2023-02-23T20:28:00Z</dcterms:modified>
</cp:coreProperties>
</file>