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ACB7F" w14:textId="54DBF009" w:rsidR="009C2F7F" w:rsidRPr="00521BEF" w:rsidRDefault="009C2F7F" w:rsidP="009C2F7F">
      <w:pPr>
        <w:spacing w:after="0"/>
        <w:jc w:val="both"/>
        <w:rPr>
          <w:rFonts w:ascii="Times New Roman" w:hAnsi="Times New Roman" w:cs="Times New Roman"/>
          <w:sz w:val="24"/>
          <w:szCs w:val="24"/>
        </w:rPr>
      </w:pPr>
      <w:r w:rsidRPr="00521BEF">
        <w:rPr>
          <w:rStyle w:val="ElApptexteEL"/>
          <w:rFonts w:ascii="Times New Roman" w:eastAsia="Arial" w:hAnsi="Times New Roman" w:cs="Times New Roman"/>
          <w:b/>
          <w:bCs/>
          <w:sz w:val="24"/>
          <w:szCs w:val="24"/>
          <w:u w:val="single"/>
          <w:lang w:eastAsia="fr-FR"/>
        </w:rPr>
        <w:t>Document </w:t>
      </w:r>
      <w:r>
        <w:rPr>
          <w:rStyle w:val="ElApptexteEL"/>
          <w:rFonts w:ascii="Times New Roman" w:eastAsia="Arial" w:hAnsi="Times New Roman" w:cs="Times New Roman"/>
          <w:b/>
          <w:bCs/>
          <w:sz w:val="24"/>
          <w:szCs w:val="24"/>
          <w:u w:val="single"/>
          <w:lang w:eastAsia="fr-FR"/>
        </w:rPr>
        <w:t>7</w:t>
      </w:r>
      <w:r w:rsidRPr="00521BEF">
        <w:rPr>
          <w:rStyle w:val="ElApptexteEL"/>
          <w:rFonts w:ascii="Times New Roman" w:eastAsia="Arial" w:hAnsi="Times New Roman" w:cs="Times New Roman"/>
          <w:b/>
          <w:bCs/>
          <w:sz w:val="24"/>
          <w:szCs w:val="24"/>
          <w:lang w:eastAsia="fr-FR"/>
        </w:rPr>
        <w:t xml:space="preserve"> : </w:t>
      </w:r>
      <w:r w:rsidRPr="00521BEF">
        <w:rPr>
          <w:rFonts w:ascii="Times New Roman" w:hAnsi="Times New Roman" w:cs="Times New Roman"/>
          <w:sz w:val="24"/>
          <w:szCs w:val="24"/>
        </w:rPr>
        <w:t xml:space="preserve">CE, 28 mars 1919, </w:t>
      </w:r>
      <w:r w:rsidRPr="00521BEF">
        <w:rPr>
          <w:rFonts w:ascii="Times New Roman" w:hAnsi="Times New Roman" w:cs="Times New Roman"/>
          <w:i/>
          <w:iCs/>
          <w:sz w:val="24"/>
          <w:szCs w:val="24"/>
        </w:rPr>
        <w:t>Regnault-</w:t>
      </w:r>
      <w:proofErr w:type="spellStart"/>
      <w:r w:rsidRPr="00521BEF">
        <w:rPr>
          <w:rFonts w:ascii="Times New Roman" w:hAnsi="Times New Roman" w:cs="Times New Roman"/>
          <w:i/>
          <w:iCs/>
          <w:sz w:val="24"/>
          <w:szCs w:val="24"/>
        </w:rPr>
        <w:t>Desroziers</w:t>
      </w:r>
      <w:proofErr w:type="spellEnd"/>
      <w:r w:rsidRPr="00521BEF">
        <w:rPr>
          <w:rFonts w:ascii="Times New Roman" w:hAnsi="Times New Roman" w:cs="Times New Roman"/>
          <w:sz w:val="24"/>
          <w:szCs w:val="24"/>
        </w:rPr>
        <w:t>, n° 62273</w:t>
      </w:r>
      <w:r>
        <w:rPr>
          <w:rFonts w:ascii="Times New Roman" w:hAnsi="Times New Roman" w:cs="Times New Roman"/>
          <w:sz w:val="24"/>
          <w:szCs w:val="24"/>
        </w:rPr>
        <w:t xml:space="preserve"> (extrait)</w:t>
      </w:r>
    </w:p>
    <w:p w14:paraId="74CDA000" w14:textId="77777777" w:rsidR="009C2F7F" w:rsidRPr="00521BEF" w:rsidRDefault="009C2F7F" w:rsidP="009C2F7F">
      <w:pPr>
        <w:spacing w:after="0"/>
        <w:jc w:val="both"/>
        <w:rPr>
          <w:rFonts w:ascii="Times New Roman" w:hAnsi="Times New Roman" w:cs="Times New Roman"/>
          <w:sz w:val="24"/>
          <w:szCs w:val="24"/>
        </w:rPr>
      </w:pPr>
    </w:p>
    <w:p w14:paraId="0F800A2D" w14:textId="1B379BE7" w:rsidR="009C2F7F" w:rsidRPr="00521BEF" w:rsidRDefault="009C2F7F" w:rsidP="009C2F7F">
      <w:pPr>
        <w:spacing w:after="0"/>
        <w:jc w:val="both"/>
        <w:rPr>
          <w:rFonts w:ascii="Times New Roman" w:hAnsi="Times New Roman" w:cs="Times New Roman"/>
          <w:sz w:val="24"/>
          <w:szCs w:val="24"/>
        </w:rPr>
      </w:pPr>
      <w:r>
        <w:rPr>
          <w:rFonts w:ascii="Times New Roman" w:hAnsi="Times New Roman" w:cs="Times New Roman"/>
          <w:sz w:val="24"/>
          <w:szCs w:val="24"/>
        </w:rPr>
        <w:t>« </w:t>
      </w:r>
      <w:r w:rsidRPr="00521BEF">
        <w:rPr>
          <w:rFonts w:ascii="Times New Roman" w:hAnsi="Times New Roman" w:cs="Times New Roman"/>
          <w:sz w:val="24"/>
          <w:szCs w:val="24"/>
        </w:rPr>
        <w:t>Considérant qu’il résulte de l’instruction que, dès l’année 1915, l’autorité militaire avait accumulé une grande quantité de grenades dans les casemates du Fort de la Double- Couronne, situé à proximité des habitations d’une agglomération importante ; qu’elle procédait, en outre, constamment à la manutention de ces engins dangereux, en vue d’alimenter rapidement les armées en campagne ; que ces opérations effectuées dans des conditions d’organisation sommaires, sous l’empire des nécessités militaires, comportaient des risques excédant les limites de ceux qui résultent normalement du voisinage, et que de tels risques étaient de nature, en cas d’accident survenu en dehors de tout fait de guerre, à engager, indépendamment de toute faute, la responsabilité de l’État. _ Responsabilité pour risque du fait de l’utilisation des engins dangereux</w:t>
      </w:r>
      <w:r>
        <w:rPr>
          <w:rFonts w:ascii="Times New Roman" w:hAnsi="Times New Roman" w:cs="Times New Roman"/>
          <w:sz w:val="24"/>
          <w:szCs w:val="24"/>
        </w:rPr>
        <w:t xml:space="preserve"> (…). »</w:t>
      </w:r>
    </w:p>
    <w:p w14:paraId="3E1322A9" w14:textId="77777777" w:rsidR="009C2F7F" w:rsidRPr="00521BEF" w:rsidRDefault="009C2F7F" w:rsidP="009C2F7F">
      <w:pPr>
        <w:spacing w:after="0"/>
        <w:jc w:val="both"/>
        <w:rPr>
          <w:rFonts w:ascii="Times New Roman" w:hAnsi="Times New Roman" w:cs="Times New Roman"/>
          <w:sz w:val="24"/>
          <w:szCs w:val="24"/>
        </w:rPr>
      </w:pPr>
    </w:p>
    <w:p w14:paraId="7F257DB7" w14:textId="3F801E3D" w:rsidR="009C2F7F" w:rsidRPr="00521BEF" w:rsidRDefault="009C2F7F" w:rsidP="009C2F7F">
      <w:pPr>
        <w:spacing w:after="0"/>
        <w:jc w:val="both"/>
        <w:rPr>
          <w:rFonts w:ascii="Times New Roman" w:hAnsi="Times New Roman" w:cs="Times New Roman"/>
          <w:sz w:val="24"/>
          <w:szCs w:val="24"/>
        </w:rPr>
      </w:pPr>
      <w:r w:rsidRPr="00521BEF">
        <w:rPr>
          <w:rStyle w:val="ElApptexteEL"/>
          <w:rFonts w:ascii="Times New Roman" w:eastAsia="Arial" w:hAnsi="Times New Roman" w:cs="Times New Roman"/>
          <w:b/>
          <w:bCs/>
          <w:sz w:val="24"/>
          <w:szCs w:val="24"/>
          <w:u w:val="single"/>
          <w:lang w:eastAsia="fr-FR"/>
        </w:rPr>
        <w:t>Document </w:t>
      </w:r>
      <w:r>
        <w:rPr>
          <w:rStyle w:val="ElApptexteEL"/>
          <w:rFonts w:ascii="Times New Roman" w:eastAsia="Arial" w:hAnsi="Times New Roman" w:cs="Times New Roman"/>
          <w:b/>
          <w:bCs/>
          <w:sz w:val="24"/>
          <w:szCs w:val="24"/>
          <w:u w:val="single"/>
          <w:lang w:eastAsia="fr-FR"/>
        </w:rPr>
        <w:t>8</w:t>
      </w:r>
      <w:r w:rsidRPr="00521BEF">
        <w:rPr>
          <w:rStyle w:val="ElApptexteEL"/>
          <w:rFonts w:ascii="Times New Roman" w:eastAsia="Arial" w:hAnsi="Times New Roman" w:cs="Times New Roman"/>
          <w:b/>
          <w:bCs/>
          <w:sz w:val="24"/>
          <w:szCs w:val="24"/>
          <w:lang w:eastAsia="fr-FR"/>
        </w:rPr>
        <w:t xml:space="preserve"> : </w:t>
      </w:r>
      <w:r w:rsidRPr="00521BEF">
        <w:rPr>
          <w:rFonts w:ascii="Times New Roman" w:hAnsi="Times New Roman" w:cs="Times New Roman"/>
          <w:sz w:val="24"/>
          <w:szCs w:val="24"/>
        </w:rPr>
        <w:t xml:space="preserve">CE, </w:t>
      </w:r>
      <w:proofErr w:type="spellStart"/>
      <w:r w:rsidRPr="00521BEF">
        <w:rPr>
          <w:rFonts w:ascii="Times New Roman" w:hAnsi="Times New Roman" w:cs="Times New Roman"/>
          <w:sz w:val="24"/>
          <w:szCs w:val="24"/>
        </w:rPr>
        <w:t>ass</w:t>
      </w:r>
      <w:proofErr w:type="spellEnd"/>
      <w:r w:rsidRPr="00521BEF">
        <w:rPr>
          <w:rFonts w:ascii="Times New Roman" w:hAnsi="Times New Roman" w:cs="Times New Roman"/>
          <w:sz w:val="24"/>
          <w:szCs w:val="24"/>
        </w:rPr>
        <w:t xml:space="preserve">., 24 juin 1949, </w:t>
      </w:r>
      <w:r w:rsidRPr="00521BEF">
        <w:rPr>
          <w:rFonts w:ascii="Times New Roman" w:hAnsi="Times New Roman" w:cs="Times New Roman"/>
          <w:i/>
          <w:iCs/>
          <w:sz w:val="24"/>
          <w:szCs w:val="24"/>
        </w:rPr>
        <w:t>Consorts Lecomte</w:t>
      </w:r>
      <w:r w:rsidRPr="00521BEF">
        <w:rPr>
          <w:rFonts w:ascii="Times New Roman" w:hAnsi="Times New Roman" w:cs="Times New Roman"/>
          <w:sz w:val="24"/>
          <w:szCs w:val="24"/>
        </w:rPr>
        <w:t>, n° 8733</w:t>
      </w:r>
      <w:r>
        <w:rPr>
          <w:rFonts w:ascii="Times New Roman" w:hAnsi="Times New Roman" w:cs="Times New Roman"/>
          <w:sz w:val="24"/>
          <w:szCs w:val="24"/>
        </w:rPr>
        <w:t xml:space="preserve"> (extrait).</w:t>
      </w:r>
    </w:p>
    <w:p w14:paraId="5C54CAE4" w14:textId="77777777" w:rsidR="009C2F7F" w:rsidRPr="00521BEF" w:rsidRDefault="009C2F7F" w:rsidP="009C2F7F">
      <w:pPr>
        <w:spacing w:after="0"/>
        <w:jc w:val="both"/>
        <w:rPr>
          <w:rFonts w:ascii="Times New Roman" w:hAnsi="Times New Roman" w:cs="Times New Roman"/>
          <w:sz w:val="24"/>
          <w:szCs w:val="24"/>
        </w:rPr>
      </w:pPr>
    </w:p>
    <w:p w14:paraId="3BF87EF2" w14:textId="153FE3B6" w:rsidR="009C2F7F" w:rsidRPr="00521BEF" w:rsidRDefault="009C2F7F" w:rsidP="009C2F7F">
      <w:pPr>
        <w:spacing w:after="0"/>
        <w:jc w:val="both"/>
        <w:rPr>
          <w:rStyle w:val="ElApptexteEL"/>
          <w:rFonts w:ascii="Times New Roman" w:eastAsia="Arial" w:hAnsi="Times New Roman" w:cs="Times New Roman"/>
          <w:sz w:val="24"/>
          <w:szCs w:val="24"/>
          <w:lang w:eastAsia="fr-FR"/>
        </w:rPr>
      </w:pPr>
      <w:r>
        <w:rPr>
          <w:rFonts w:ascii="Times New Roman" w:hAnsi="Times New Roman" w:cs="Times New Roman"/>
          <w:sz w:val="24"/>
          <w:szCs w:val="24"/>
        </w:rPr>
        <w:t>« </w:t>
      </w:r>
      <w:r w:rsidRPr="00521BEF">
        <w:rPr>
          <w:rFonts w:ascii="Times New Roman" w:hAnsi="Times New Roman" w:cs="Times New Roman"/>
          <w:sz w:val="24"/>
          <w:szCs w:val="24"/>
        </w:rPr>
        <w:t>Considérant que si, en principe, le service de police ne peut être tenu pour responsable que des dommages imputables à une faute lourde commise par ses agents dans l’exercice de leurs fonctions, la responsabilité de la puissance publique se trouve engagée même en l’absence d’une telle faute dans le cas où le personnel de la police fait usage d’armes ou d’engins comportant des risques exceptionnels pour les personnes et les biens et où les dommages subis dans de telles circonstances excèdent, par leur gravité, les charges qui doivent normalement être supportées par les particuliers en contrepartie des avantages résultant de l’existence de ce service public</w:t>
      </w:r>
      <w:r>
        <w:rPr>
          <w:rFonts w:ascii="Times New Roman" w:hAnsi="Times New Roman" w:cs="Times New Roman"/>
          <w:sz w:val="24"/>
          <w:szCs w:val="24"/>
        </w:rPr>
        <w:t xml:space="preserve"> (…). »</w:t>
      </w:r>
    </w:p>
    <w:p w14:paraId="472AD5E4" w14:textId="77777777" w:rsidR="009C2F7F" w:rsidRPr="00521BEF" w:rsidRDefault="009C2F7F" w:rsidP="009C2F7F">
      <w:pPr>
        <w:spacing w:after="0"/>
        <w:jc w:val="both"/>
        <w:rPr>
          <w:rFonts w:ascii="Times New Roman" w:hAnsi="Times New Roman" w:cs="Times New Roman"/>
        </w:rPr>
      </w:pPr>
      <w:r w:rsidRPr="00521BEF">
        <w:rPr>
          <w:rFonts w:ascii="Times New Roman" w:hAnsi="Times New Roman" w:cs="Times New Roman"/>
        </w:rPr>
        <w:br/>
      </w:r>
    </w:p>
    <w:p w14:paraId="515C6CB6" w14:textId="77777777" w:rsidR="009C2F7F" w:rsidRPr="00521BEF" w:rsidRDefault="009C2F7F" w:rsidP="009C2F7F">
      <w:pPr>
        <w:spacing w:after="0"/>
        <w:rPr>
          <w:rFonts w:ascii="Times New Roman" w:hAnsi="Times New Roman" w:cs="Times New Roman"/>
          <w:b/>
          <w:bCs/>
          <w:sz w:val="28"/>
          <w:szCs w:val="28"/>
        </w:rPr>
      </w:pPr>
    </w:p>
    <w:p w14:paraId="61C356A2" w14:textId="77777777" w:rsidR="009C2F7F" w:rsidRDefault="009C2F7F" w:rsidP="009C2F7F"/>
    <w:p w14:paraId="4835883E" w14:textId="77777777" w:rsidR="0071027D" w:rsidRDefault="0071027D"/>
    <w:sectPr w:rsidR="0071027D" w:rsidSect="00521BEF">
      <w:headerReference w:type="default" r:id="rId6"/>
      <w:footerReference w:type="default" r:id="rId7"/>
      <w:headerReference w:type="first" r:id="rId8"/>
      <w:pgSz w:w="11906" w:h="16838"/>
      <w:pgMar w:top="1417" w:right="1417" w:bottom="993" w:left="1417"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451BC" w14:textId="77777777" w:rsidR="0043561D" w:rsidRDefault="0043561D" w:rsidP="009C2F7F">
      <w:pPr>
        <w:spacing w:after="0" w:line="240" w:lineRule="auto"/>
      </w:pPr>
      <w:r>
        <w:separator/>
      </w:r>
    </w:p>
  </w:endnote>
  <w:endnote w:type="continuationSeparator" w:id="0">
    <w:p w14:paraId="287AE0E3" w14:textId="77777777" w:rsidR="0043561D" w:rsidRDefault="0043561D" w:rsidP="009C2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30FD" w14:textId="77777777" w:rsidR="004B47E4" w:rsidRDefault="00000000">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25563985" w14:textId="77777777" w:rsidR="004B47E4"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45AD1" w14:textId="77777777" w:rsidR="0043561D" w:rsidRDefault="0043561D" w:rsidP="009C2F7F">
      <w:pPr>
        <w:spacing w:after="0" w:line="240" w:lineRule="auto"/>
      </w:pPr>
      <w:r>
        <w:separator/>
      </w:r>
    </w:p>
  </w:footnote>
  <w:footnote w:type="continuationSeparator" w:id="0">
    <w:p w14:paraId="4F152604" w14:textId="77777777" w:rsidR="0043561D" w:rsidRDefault="0043561D" w:rsidP="009C2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80DC" w14:textId="77777777" w:rsidR="00686C83" w:rsidRDefault="00000000" w:rsidP="00686C83">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C834" w14:textId="40C59D38" w:rsidR="003C7186" w:rsidRDefault="00000000" w:rsidP="003C7186">
    <w:pPr>
      <w:pStyle w:val="En-tte"/>
      <w:tabs>
        <w:tab w:val="clear" w:pos="4536"/>
        <w:tab w:val="clear" w:pos="9072"/>
        <w:tab w:val="left" w:pos="3252"/>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F7F"/>
    <w:rsid w:val="0043561D"/>
    <w:rsid w:val="004A7855"/>
    <w:rsid w:val="0071027D"/>
    <w:rsid w:val="009C2F7F"/>
    <w:rsid w:val="00BC1111"/>
    <w:rsid w:val="00CD7B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B1B9B63"/>
  <w15:chartTrackingRefBased/>
  <w15:docId w15:val="{76496DA1-0058-3E44-B778-764F6F0F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F7F"/>
    <w:pPr>
      <w:spacing w:after="160" w:line="259" w:lineRule="auto"/>
    </w:pPr>
    <w:rPr>
      <w:sz w:val="22"/>
      <w:szCs w:val="22"/>
    </w:rPr>
  </w:style>
  <w:style w:type="paragraph" w:styleId="Titre3">
    <w:name w:val="heading 3"/>
    <w:basedOn w:val="Normal"/>
    <w:next w:val="Normal"/>
    <w:link w:val="Titre3Car"/>
    <w:uiPriority w:val="9"/>
    <w:unhideWhenUsed/>
    <w:qFormat/>
    <w:rsid w:val="004A7855"/>
    <w:pPr>
      <w:keepNext/>
      <w:keepLines/>
      <w:spacing w:before="200" w:after="0" w:line="240" w:lineRule="auto"/>
      <w:jc w:val="both"/>
      <w:outlineLvl w:val="2"/>
    </w:pPr>
    <w:rPr>
      <w:rFonts w:asciiTheme="majorHAnsi" w:eastAsiaTheme="majorEastAsia" w:hAnsiTheme="majorHAnsi" w:cstheme="majorBidi"/>
      <w:b/>
      <w:bCs/>
      <w:color w:val="4472C4" w:themeColor="accen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A7855"/>
    <w:rPr>
      <w:rFonts w:asciiTheme="majorHAnsi" w:eastAsiaTheme="majorEastAsia" w:hAnsiTheme="majorHAnsi" w:cstheme="majorBidi"/>
      <w:b/>
      <w:bCs/>
      <w:color w:val="4472C4" w:themeColor="accent1"/>
    </w:rPr>
  </w:style>
  <w:style w:type="paragraph" w:customStyle="1" w:styleId="TitreTD">
    <w:name w:val="Titre TD"/>
    <w:basedOn w:val="Citationintense"/>
    <w:next w:val="Normal"/>
    <w:qFormat/>
    <w:rsid w:val="00BC1111"/>
    <w:rPr>
      <w:b/>
      <w:i w:val="0"/>
    </w:rPr>
  </w:style>
  <w:style w:type="paragraph" w:styleId="Citationintense">
    <w:name w:val="Intense Quote"/>
    <w:basedOn w:val="Normal"/>
    <w:next w:val="Normal"/>
    <w:link w:val="CitationintenseCar"/>
    <w:uiPriority w:val="30"/>
    <w:qFormat/>
    <w:rsid w:val="00BC1111"/>
    <w:pPr>
      <w:pBdr>
        <w:top w:val="single" w:sz="4" w:space="10" w:color="4472C4" w:themeColor="accent1"/>
        <w:bottom w:val="single" w:sz="4" w:space="10" w:color="4472C4" w:themeColor="accent1"/>
      </w:pBdr>
      <w:spacing w:before="360" w:after="360" w:line="240" w:lineRule="auto"/>
      <w:ind w:left="864" w:right="864"/>
      <w:jc w:val="center"/>
    </w:pPr>
    <w:rPr>
      <w:rFonts w:ascii="Times New Roman" w:hAnsi="Times New Roman"/>
      <w:i/>
      <w:iCs/>
      <w:color w:val="4472C4" w:themeColor="accent1"/>
      <w:sz w:val="24"/>
      <w:szCs w:val="24"/>
    </w:rPr>
  </w:style>
  <w:style w:type="character" w:customStyle="1" w:styleId="CitationintenseCar">
    <w:name w:val="Citation intense Car"/>
    <w:basedOn w:val="Policepardfaut"/>
    <w:link w:val="Citationintense"/>
    <w:uiPriority w:val="30"/>
    <w:rsid w:val="00BC1111"/>
    <w:rPr>
      <w:i/>
      <w:iCs/>
      <w:color w:val="4472C4" w:themeColor="accent1"/>
    </w:rPr>
  </w:style>
  <w:style w:type="paragraph" w:styleId="En-tte">
    <w:name w:val="header"/>
    <w:basedOn w:val="Normal"/>
    <w:link w:val="En-tteCar"/>
    <w:uiPriority w:val="99"/>
    <w:unhideWhenUsed/>
    <w:rsid w:val="009C2F7F"/>
    <w:pPr>
      <w:tabs>
        <w:tab w:val="center" w:pos="4536"/>
        <w:tab w:val="right" w:pos="9072"/>
      </w:tabs>
      <w:spacing w:after="0" w:line="240" w:lineRule="auto"/>
    </w:pPr>
  </w:style>
  <w:style w:type="character" w:customStyle="1" w:styleId="En-tteCar">
    <w:name w:val="En-tête Car"/>
    <w:basedOn w:val="Policepardfaut"/>
    <w:link w:val="En-tte"/>
    <w:uiPriority w:val="99"/>
    <w:rsid w:val="009C2F7F"/>
    <w:rPr>
      <w:sz w:val="22"/>
      <w:szCs w:val="22"/>
    </w:rPr>
  </w:style>
  <w:style w:type="paragraph" w:styleId="Pieddepage">
    <w:name w:val="footer"/>
    <w:basedOn w:val="Normal"/>
    <w:link w:val="PieddepageCar"/>
    <w:uiPriority w:val="99"/>
    <w:unhideWhenUsed/>
    <w:rsid w:val="009C2F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2F7F"/>
    <w:rPr>
      <w:sz w:val="22"/>
      <w:szCs w:val="22"/>
    </w:rPr>
  </w:style>
  <w:style w:type="character" w:customStyle="1" w:styleId="ElApptexteEL">
    <w:name w:val="ElApp_texteEL"/>
    <w:basedOn w:val="Policepardfaut"/>
    <w:rsid w:val="009C2F7F"/>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1425</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AOUISS</dc:creator>
  <cp:keywords/>
  <dc:description/>
  <cp:lastModifiedBy>Sara AOUISS</cp:lastModifiedBy>
  <cp:revision>1</cp:revision>
  <dcterms:created xsi:type="dcterms:W3CDTF">2023-02-23T21:40:00Z</dcterms:created>
  <dcterms:modified xsi:type="dcterms:W3CDTF">2023-02-23T21:41:00Z</dcterms:modified>
</cp:coreProperties>
</file>