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9C165" w14:textId="30123CD9" w:rsidR="00B15635" w:rsidRPr="00521BEF" w:rsidRDefault="00B15635" w:rsidP="00B15635">
      <w:pPr>
        <w:spacing w:after="0"/>
        <w:jc w:val="both"/>
        <w:rPr>
          <w:rFonts w:ascii="Times New Roman" w:hAnsi="Times New Roman" w:cs="Times New Roman"/>
          <w:sz w:val="24"/>
          <w:szCs w:val="24"/>
        </w:rPr>
      </w:pPr>
      <w:r w:rsidRPr="00521BEF">
        <w:rPr>
          <w:rFonts w:ascii="Times New Roman" w:hAnsi="Times New Roman" w:cs="Times New Roman"/>
          <w:b/>
          <w:bCs/>
          <w:sz w:val="24"/>
          <w:szCs w:val="24"/>
          <w:u w:val="single"/>
        </w:rPr>
        <w:t xml:space="preserve">Document </w:t>
      </w:r>
      <w:r>
        <w:rPr>
          <w:rFonts w:ascii="Times New Roman" w:hAnsi="Times New Roman" w:cs="Times New Roman"/>
          <w:b/>
          <w:bCs/>
          <w:sz w:val="24"/>
          <w:szCs w:val="24"/>
          <w:u w:val="single"/>
        </w:rPr>
        <w:t>5</w:t>
      </w:r>
      <w:r w:rsidRPr="00521BEF">
        <w:rPr>
          <w:rFonts w:ascii="Times New Roman" w:hAnsi="Times New Roman" w:cs="Times New Roman"/>
          <w:b/>
          <w:bCs/>
          <w:sz w:val="24"/>
          <w:szCs w:val="24"/>
        </w:rPr>
        <w:t xml:space="preserve">: </w:t>
      </w:r>
      <w:r w:rsidRPr="00521BEF">
        <w:rPr>
          <w:rFonts w:ascii="Times New Roman" w:hAnsi="Times New Roman" w:cs="Times New Roman"/>
          <w:sz w:val="24"/>
          <w:szCs w:val="24"/>
        </w:rPr>
        <w:t>J</w:t>
      </w:r>
      <w:r>
        <w:rPr>
          <w:rFonts w:ascii="Times New Roman" w:hAnsi="Times New Roman" w:cs="Times New Roman"/>
          <w:sz w:val="24"/>
          <w:szCs w:val="24"/>
        </w:rPr>
        <w:t>.</w:t>
      </w:r>
      <w:r w:rsidRPr="00521BEF">
        <w:rPr>
          <w:rFonts w:ascii="Times New Roman" w:hAnsi="Times New Roman" w:cs="Times New Roman"/>
          <w:sz w:val="24"/>
          <w:szCs w:val="24"/>
        </w:rPr>
        <w:t>-Y</w:t>
      </w:r>
      <w:r>
        <w:rPr>
          <w:rFonts w:ascii="Times New Roman" w:hAnsi="Times New Roman" w:cs="Times New Roman"/>
          <w:sz w:val="24"/>
          <w:szCs w:val="24"/>
        </w:rPr>
        <w:t>.</w:t>
      </w:r>
      <w:r w:rsidRPr="00521BEF">
        <w:rPr>
          <w:rFonts w:ascii="Times New Roman" w:hAnsi="Times New Roman" w:cs="Times New Roman"/>
          <w:sz w:val="24"/>
          <w:szCs w:val="24"/>
        </w:rPr>
        <w:t xml:space="preserve"> </w:t>
      </w:r>
      <w:r w:rsidRPr="00521BEF">
        <w:rPr>
          <w:rFonts w:ascii="Times New Roman" w:hAnsi="Times New Roman" w:cs="Times New Roman"/>
          <w:sz w:val="24"/>
          <w:szCs w:val="24"/>
        </w:rPr>
        <w:t>DELECHENEAU</w:t>
      </w:r>
      <w:r w:rsidRPr="00521BEF">
        <w:rPr>
          <w:rFonts w:ascii="Times New Roman" w:hAnsi="Times New Roman" w:cs="Times New Roman"/>
          <w:sz w:val="24"/>
          <w:szCs w:val="24"/>
        </w:rPr>
        <w:t>, « </w:t>
      </w:r>
      <w:r w:rsidRPr="00B15635">
        <w:rPr>
          <w:rFonts w:ascii="Times New Roman" w:hAnsi="Times New Roman" w:cs="Times New Roman"/>
          <w:sz w:val="24"/>
          <w:szCs w:val="24"/>
        </w:rPr>
        <w:t>Calamités publiques : quelles responsabilités pour les collectivités et les élus ?</w:t>
      </w:r>
      <w:r w:rsidRPr="00521BEF">
        <w:rPr>
          <w:rFonts w:ascii="Times New Roman" w:hAnsi="Times New Roman" w:cs="Times New Roman"/>
          <w:i/>
          <w:iCs/>
          <w:sz w:val="24"/>
          <w:szCs w:val="24"/>
        </w:rPr>
        <w:t xml:space="preserve"> », </w:t>
      </w:r>
      <w:r w:rsidRPr="00B15635">
        <w:rPr>
          <w:rFonts w:ascii="Times New Roman" w:hAnsi="Times New Roman" w:cs="Times New Roman"/>
          <w:i/>
          <w:iCs/>
          <w:sz w:val="24"/>
          <w:szCs w:val="24"/>
        </w:rPr>
        <w:t>AJ Collectivités Territoriales</w:t>
      </w:r>
      <w:r w:rsidRPr="00521BEF">
        <w:rPr>
          <w:rFonts w:ascii="Times New Roman" w:hAnsi="Times New Roman" w:cs="Times New Roman"/>
          <w:sz w:val="24"/>
          <w:szCs w:val="24"/>
        </w:rPr>
        <w:t>, 2020 p.</w:t>
      </w:r>
      <w:r>
        <w:rPr>
          <w:rFonts w:ascii="Times New Roman" w:hAnsi="Times New Roman" w:cs="Times New Roman"/>
          <w:sz w:val="24"/>
          <w:szCs w:val="24"/>
        </w:rPr>
        <w:t xml:space="preserve"> </w:t>
      </w:r>
      <w:r w:rsidRPr="00521BEF">
        <w:rPr>
          <w:rFonts w:ascii="Times New Roman" w:hAnsi="Times New Roman" w:cs="Times New Roman"/>
          <w:sz w:val="24"/>
          <w:szCs w:val="24"/>
        </w:rPr>
        <w:t>397</w:t>
      </w:r>
      <w:r>
        <w:rPr>
          <w:rFonts w:ascii="Times New Roman" w:hAnsi="Times New Roman" w:cs="Times New Roman"/>
          <w:sz w:val="24"/>
          <w:szCs w:val="24"/>
        </w:rPr>
        <w:t xml:space="preserve"> (extrait)</w:t>
      </w:r>
      <w:r w:rsidRPr="00521BEF">
        <w:rPr>
          <w:rFonts w:ascii="Times New Roman" w:hAnsi="Times New Roman" w:cs="Times New Roman"/>
          <w:sz w:val="24"/>
          <w:szCs w:val="24"/>
        </w:rPr>
        <w:t>.</w:t>
      </w:r>
    </w:p>
    <w:p w14:paraId="650D219F" w14:textId="77777777" w:rsidR="00B15635" w:rsidRPr="00521BEF" w:rsidRDefault="00B15635" w:rsidP="00B15635">
      <w:pPr>
        <w:spacing w:after="0"/>
        <w:jc w:val="both"/>
        <w:rPr>
          <w:rFonts w:ascii="Times New Roman" w:hAnsi="Times New Roman" w:cs="Times New Roman"/>
          <w:b/>
          <w:bCs/>
          <w:i/>
          <w:iCs/>
          <w:sz w:val="24"/>
          <w:szCs w:val="24"/>
          <w:u w:val="single"/>
        </w:rPr>
      </w:pPr>
    </w:p>
    <w:p w14:paraId="43CFBA1C" w14:textId="77777777" w:rsidR="00B15635" w:rsidRPr="00521BEF" w:rsidRDefault="00B15635" w:rsidP="00B15635">
      <w:pPr>
        <w:spacing w:after="0" w:line="260" w:lineRule="atLeast"/>
        <w:jc w:val="both"/>
        <w:rPr>
          <w:rFonts w:ascii="Times New Roman" w:hAnsi="Times New Roman" w:cs="Times New Roman"/>
          <w:color w:val="000000"/>
          <w:sz w:val="24"/>
          <w:szCs w:val="24"/>
          <w:lang w:eastAsia="fr-FR"/>
        </w:rPr>
      </w:pPr>
      <w:r w:rsidRPr="00521BEF">
        <w:rPr>
          <w:rFonts w:ascii="Times New Roman" w:hAnsi="Times New Roman" w:cs="Times New Roman"/>
          <w:color w:val="000000"/>
          <w:sz w:val="24"/>
          <w:szCs w:val="24"/>
          <w:lang w:eastAsia="fr-FR"/>
        </w:rPr>
        <w:t>Si les collectivités territoriales doivent penser à protéger leur patrimoine en cas d'événement climatique majeur, elles doivent également penser à se protéger ainsi que leurs élus.</w:t>
      </w:r>
      <w:r w:rsidRPr="00521BEF">
        <w:rPr>
          <w:rFonts w:ascii="Times New Roman" w:hAnsi="Times New Roman" w:cs="Times New Roman"/>
          <w:color w:val="000000"/>
          <w:sz w:val="24"/>
          <w:szCs w:val="24"/>
          <w:lang w:eastAsia="fr-FR"/>
        </w:rPr>
        <w:br/>
      </w:r>
      <w:r w:rsidRPr="00521BEF">
        <w:rPr>
          <w:rFonts w:ascii="Times New Roman" w:hAnsi="Times New Roman" w:cs="Times New Roman"/>
          <w:color w:val="000000"/>
          <w:sz w:val="24"/>
          <w:szCs w:val="24"/>
          <w:lang w:eastAsia="fr-FR"/>
        </w:rPr>
        <w:br/>
        <w:t>Le réchauffement climatique de ces dernières années, l'urbanisation parfois hasardeuse dans certaines régions mais aussi le rôle majeur des collectivités et des établissements publics de coopération intercommunale (EPCI) dans le domaine de la prévention des risques naturels, les exposent ainsi que leurs élus à des risques de responsabilité, qu'elle soit administrative (civile) ou pénale.</w:t>
      </w:r>
    </w:p>
    <w:p w14:paraId="1323ACDA" w14:textId="77777777" w:rsidR="00B15635" w:rsidRPr="00521BEF" w:rsidRDefault="00B15635" w:rsidP="00B15635">
      <w:pPr>
        <w:spacing w:after="0" w:line="260" w:lineRule="atLeast"/>
        <w:jc w:val="both"/>
        <w:rPr>
          <w:rFonts w:ascii="Times New Roman" w:hAnsi="Times New Roman" w:cs="Times New Roman"/>
          <w:color w:val="000000"/>
          <w:sz w:val="24"/>
          <w:szCs w:val="24"/>
          <w:lang w:eastAsia="fr-FR"/>
        </w:rPr>
      </w:pPr>
      <w:r w:rsidRPr="00521BEF">
        <w:rPr>
          <w:rFonts w:ascii="Times New Roman" w:hAnsi="Times New Roman" w:cs="Times New Roman"/>
          <w:color w:val="000000"/>
          <w:sz w:val="24"/>
          <w:szCs w:val="24"/>
          <w:lang w:eastAsia="fr-FR"/>
        </w:rPr>
        <w:br/>
        <w:t>Ce risque est d'autant plus présent que la reconnaissance par les pouvoirs publics d'un événement en tant que catastrophe naturelle ne signifie pas automatiquement absence de responsabilité. Cette position a été rappelée à plusieurs reprises par les différentes juridictions</w:t>
      </w:r>
      <w:r w:rsidRPr="00521BEF">
        <w:rPr>
          <w:rFonts w:ascii="Times New Roman" w:hAnsi="Times New Roman" w:cs="Times New Roman"/>
          <w:noProof/>
          <w:color w:val="000000"/>
          <w:sz w:val="24"/>
          <w:szCs w:val="24"/>
          <w:lang w:eastAsia="fr-FR"/>
        </w:rPr>
        <w:drawing>
          <wp:inline distT="0" distB="0" distL="0" distR="0" wp14:anchorId="541AD99A" wp14:editId="251AC27D">
            <wp:extent cx="121920" cy="12192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21BEF">
        <w:rPr>
          <w:rFonts w:ascii="Times New Roman" w:hAnsi="Times New Roman" w:cs="Times New Roman"/>
          <w:color w:val="000000"/>
          <w:sz w:val="24"/>
          <w:szCs w:val="24"/>
          <w:lang w:eastAsia="fr-FR"/>
        </w:rPr>
        <w:t>(1). Pour être exonératoire, l'événement doit être qualifié de force majeure, ce qui suppose de démontrer son caractère imprévisible, irrésistible et extérieur aux parties</w:t>
      </w:r>
      <w:r w:rsidRPr="00521BEF">
        <w:rPr>
          <w:rFonts w:ascii="Times New Roman" w:hAnsi="Times New Roman" w:cs="Times New Roman"/>
          <w:noProof/>
          <w:color w:val="000000"/>
          <w:sz w:val="24"/>
          <w:szCs w:val="24"/>
          <w:lang w:eastAsia="fr-FR"/>
        </w:rPr>
        <w:drawing>
          <wp:inline distT="0" distB="0" distL="0" distR="0" wp14:anchorId="0EA3EB36" wp14:editId="41833A21">
            <wp:extent cx="121920" cy="12192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21BEF">
        <w:rPr>
          <w:rFonts w:ascii="Times New Roman" w:hAnsi="Times New Roman" w:cs="Times New Roman"/>
          <w:color w:val="000000"/>
          <w:sz w:val="24"/>
          <w:szCs w:val="24"/>
          <w:lang w:eastAsia="fr-FR"/>
        </w:rPr>
        <w:t>(2).</w:t>
      </w:r>
      <w:r w:rsidRPr="00521BEF">
        <w:rPr>
          <w:rFonts w:ascii="Times New Roman" w:hAnsi="Times New Roman" w:cs="Times New Roman"/>
          <w:color w:val="000000"/>
          <w:sz w:val="24"/>
          <w:szCs w:val="24"/>
          <w:lang w:eastAsia="fr-FR"/>
        </w:rPr>
        <w:br/>
      </w:r>
      <w:r w:rsidRPr="00521BEF">
        <w:rPr>
          <w:rFonts w:ascii="Times New Roman" w:hAnsi="Times New Roman" w:cs="Times New Roman"/>
          <w:color w:val="000000"/>
          <w:sz w:val="24"/>
          <w:szCs w:val="24"/>
          <w:lang w:eastAsia="fr-FR"/>
        </w:rPr>
        <w:br/>
        <w:t>Si le dernier critère peut être aisément rempli, tel n'est pas toujours le cas des deux premiers, de sorte que la responsabilité d'une commune peut être engagée en cas d'événement climatique exceptionnel. Dès lors, quels sont les domaines dans lesquels la commune peut voir sa responsabilité engagée ?</w:t>
      </w:r>
    </w:p>
    <w:p w14:paraId="5AAAD127" w14:textId="77777777" w:rsidR="00B15635" w:rsidRPr="00521BEF" w:rsidRDefault="00B15635" w:rsidP="00B15635">
      <w:pPr>
        <w:spacing w:after="0" w:line="260" w:lineRule="atLeast"/>
        <w:jc w:val="both"/>
        <w:rPr>
          <w:rFonts w:ascii="Times New Roman" w:hAnsi="Times New Roman" w:cs="Times New Roman"/>
          <w:color w:val="000000"/>
          <w:sz w:val="24"/>
          <w:szCs w:val="24"/>
          <w:lang w:eastAsia="fr-FR"/>
        </w:rPr>
      </w:pPr>
    </w:p>
    <w:p w14:paraId="6626BA94" w14:textId="77777777" w:rsidR="00B15635" w:rsidRPr="00521BEF" w:rsidRDefault="00B15635" w:rsidP="00B15635">
      <w:pPr>
        <w:pStyle w:val="docContentchronTITRE"/>
        <w:spacing w:line="260" w:lineRule="atLeast"/>
        <w:jc w:val="both"/>
        <w:rPr>
          <w:sz w:val="24"/>
          <w:szCs w:val="24"/>
        </w:rPr>
      </w:pPr>
      <w:r w:rsidRPr="00521BEF">
        <w:rPr>
          <w:sz w:val="24"/>
          <w:szCs w:val="24"/>
        </w:rPr>
        <w:t>Responsabilité de la commune</w:t>
      </w:r>
    </w:p>
    <w:p w14:paraId="76D0B1CE" w14:textId="77777777" w:rsidR="00B15635" w:rsidRPr="00521BEF" w:rsidRDefault="00B15635" w:rsidP="00B15635">
      <w:pPr>
        <w:spacing w:after="0" w:line="260" w:lineRule="atLeast"/>
        <w:jc w:val="both"/>
        <w:rPr>
          <w:rFonts w:ascii="Times New Roman" w:hAnsi="Times New Roman" w:cs="Times New Roman"/>
          <w:color w:val="000000"/>
          <w:sz w:val="24"/>
          <w:szCs w:val="24"/>
          <w:lang w:eastAsia="fr-FR"/>
        </w:rPr>
      </w:pPr>
      <w:r w:rsidRPr="00521BEF">
        <w:rPr>
          <w:rFonts w:ascii="Times New Roman" w:hAnsi="Times New Roman" w:cs="Times New Roman"/>
          <w:b/>
          <w:bCs/>
          <w:color w:val="000000"/>
          <w:sz w:val="24"/>
          <w:szCs w:val="24"/>
          <w:lang w:eastAsia="fr-FR"/>
        </w:rPr>
        <w:t>Ouvrage public</w:t>
      </w:r>
      <w:r w:rsidRPr="00521BEF">
        <w:rPr>
          <w:rFonts w:ascii="Times New Roman" w:hAnsi="Times New Roman" w:cs="Times New Roman"/>
          <w:color w:val="000000"/>
          <w:sz w:val="24"/>
          <w:szCs w:val="24"/>
          <w:lang w:eastAsia="fr-FR"/>
        </w:rPr>
        <w:t xml:space="preserve"> - La responsabilité de la commune peut d'abord provenir d'un ouvrage public ou de ses dépendances (par exemple, rupture d'une digue, chute d'un arbre sur un piéton).</w:t>
      </w:r>
      <w:r w:rsidRPr="00521BEF">
        <w:rPr>
          <w:rFonts w:ascii="Times New Roman" w:hAnsi="Times New Roman" w:cs="Times New Roman"/>
          <w:color w:val="000000"/>
          <w:sz w:val="24"/>
          <w:szCs w:val="24"/>
          <w:lang w:eastAsia="fr-FR"/>
        </w:rPr>
        <w:br/>
      </w:r>
      <w:r w:rsidRPr="00521BEF">
        <w:rPr>
          <w:rFonts w:ascii="Times New Roman" w:hAnsi="Times New Roman" w:cs="Times New Roman"/>
          <w:color w:val="000000"/>
          <w:sz w:val="24"/>
          <w:szCs w:val="24"/>
          <w:lang w:eastAsia="fr-FR"/>
        </w:rPr>
        <w:br/>
        <w:t>Ici, selon la qualité de la victime (tiers ou usager), la collectivité ne pourra s'exonérer de sa responsabilité qu'en rapportant la preuve d'une faute de la victime, de la force majeure (difficile à établir comme on vient de le voir) ou encore du bon entretien de l'ouvrage incriminé s'agissant d'un usager.</w:t>
      </w:r>
    </w:p>
    <w:p w14:paraId="3F421735" w14:textId="77777777" w:rsidR="00B15635" w:rsidRPr="00521BEF" w:rsidRDefault="00B15635" w:rsidP="00B15635">
      <w:pPr>
        <w:spacing w:after="0" w:line="260" w:lineRule="atLeast"/>
        <w:jc w:val="both"/>
        <w:rPr>
          <w:rFonts w:ascii="Times New Roman" w:hAnsi="Times New Roman" w:cs="Times New Roman"/>
          <w:color w:val="000000"/>
          <w:sz w:val="24"/>
          <w:szCs w:val="24"/>
          <w:lang w:eastAsia="fr-FR"/>
        </w:rPr>
      </w:pPr>
      <w:r w:rsidRPr="00521BEF">
        <w:rPr>
          <w:rFonts w:ascii="Times New Roman" w:hAnsi="Times New Roman" w:cs="Times New Roman"/>
          <w:color w:val="000000"/>
          <w:sz w:val="24"/>
          <w:szCs w:val="24"/>
          <w:lang w:eastAsia="fr-FR"/>
        </w:rPr>
        <w:br/>
        <w:t>Ainsi, engage sa responsabilité la commune qui ne justifie pas l'entretien des installations portuaires qui ont cédé lors d'une tempête, provoquant l'endommagement de plusieurs bateaux</w:t>
      </w:r>
      <w:r w:rsidRPr="00521BEF">
        <w:rPr>
          <w:rFonts w:ascii="Times New Roman" w:hAnsi="Times New Roman" w:cs="Times New Roman"/>
          <w:noProof/>
          <w:color w:val="000000"/>
          <w:sz w:val="24"/>
          <w:szCs w:val="24"/>
          <w:lang w:eastAsia="fr-FR"/>
        </w:rPr>
        <w:drawing>
          <wp:inline distT="0" distB="0" distL="0" distR="0" wp14:anchorId="6259D0B7" wp14:editId="2AA8D652">
            <wp:extent cx="121920" cy="12192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21BEF">
        <w:rPr>
          <w:rFonts w:ascii="Times New Roman" w:hAnsi="Times New Roman" w:cs="Times New Roman"/>
          <w:color w:val="000000"/>
          <w:sz w:val="24"/>
          <w:szCs w:val="24"/>
          <w:lang w:eastAsia="fr-FR"/>
        </w:rPr>
        <w:t>(3).</w:t>
      </w:r>
      <w:r w:rsidRPr="00521BEF">
        <w:rPr>
          <w:rFonts w:ascii="Times New Roman" w:hAnsi="Times New Roman" w:cs="Times New Roman"/>
          <w:color w:val="000000"/>
          <w:sz w:val="24"/>
          <w:szCs w:val="24"/>
          <w:lang w:eastAsia="fr-FR"/>
        </w:rPr>
        <w:br/>
      </w:r>
      <w:r w:rsidRPr="00521BEF">
        <w:rPr>
          <w:rFonts w:ascii="Times New Roman" w:hAnsi="Times New Roman" w:cs="Times New Roman"/>
          <w:color w:val="000000"/>
          <w:sz w:val="24"/>
          <w:szCs w:val="24"/>
          <w:lang w:eastAsia="fr-FR"/>
        </w:rPr>
        <w:br/>
        <w:t>En revanche, la commune propriétaire d'un cèdre centenaire, dont une branche s'est abattue sur un passant lors de la tempête Xynthia, n'est pas responsable, le diagnostic phytosanitaire réalisé par un professionnel trois ans avant sa chute concluant au bon état physiologique et mécanique de l'arbre et préconisant un suivi d'évolution seulement dans les cinq à dix ans</w:t>
      </w:r>
      <w:r w:rsidRPr="00521BEF">
        <w:rPr>
          <w:rFonts w:ascii="Times New Roman" w:hAnsi="Times New Roman" w:cs="Times New Roman"/>
          <w:noProof/>
          <w:color w:val="000000"/>
          <w:sz w:val="24"/>
          <w:szCs w:val="24"/>
          <w:lang w:eastAsia="fr-FR"/>
        </w:rPr>
        <w:drawing>
          <wp:inline distT="0" distB="0" distL="0" distR="0" wp14:anchorId="2A32D976" wp14:editId="7BCD5D41">
            <wp:extent cx="121920" cy="12192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21BEF">
        <w:rPr>
          <w:rFonts w:ascii="Times New Roman" w:hAnsi="Times New Roman" w:cs="Times New Roman"/>
          <w:color w:val="000000"/>
          <w:sz w:val="24"/>
          <w:szCs w:val="24"/>
          <w:lang w:eastAsia="fr-FR"/>
        </w:rPr>
        <w:t>(4).</w:t>
      </w:r>
      <w:r w:rsidRPr="00521BEF">
        <w:rPr>
          <w:rFonts w:ascii="Times New Roman" w:hAnsi="Times New Roman" w:cs="Times New Roman"/>
          <w:color w:val="000000"/>
          <w:sz w:val="24"/>
          <w:szCs w:val="24"/>
          <w:lang w:eastAsia="fr-FR"/>
        </w:rPr>
        <w:br/>
      </w:r>
      <w:r w:rsidRPr="00521BEF">
        <w:rPr>
          <w:rFonts w:ascii="Times New Roman" w:hAnsi="Times New Roman" w:cs="Times New Roman"/>
          <w:color w:val="000000"/>
          <w:sz w:val="24"/>
          <w:szCs w:val="24"/>
          <w:lang w:eastAsia="fr-FR"/>
        </w:rPr>
        <w:br/>
      </w:r>
      <w:r w:rsidRPr="00521BEF">
        <w:rPr>
          <w:rFonts w:ascii="Times New Roman" w:hAnsi="Times New Roman" w:cs="Times New Roman"/>
          <w:b/>
          <w:bCs/>
          <w:color w:val="000000"/>
          <w:sz w:val="24"/>
          <w:szCs w:val="24"/>
          <w:lang w:eastAsia="fr-FR"/>
        </w:rPr>
        <w:t>Police et urbanisme</w:t>
      </w:r>
      <w:r w:rsidRPr="00521BEF">
        <w:rPr>
          <w:rFonts w:ascii="Times New Roman" w:hAnsi="Times New Roman" w:cs="Times New Roman"/>
          <w:color w:val="000000"/>
          <w:sz w:val="24"/>
          <w:szCs w:val="24"/>
          <w:lang w:eastAsia="fr-FR"/>
        </w:rPr>
        <w:t xml:space="preserve"> - Mais c'est surtout au titre de ses pouvoirs de police ou encore en matière d'urbanisme que la commune est exposée.</w:t>
      </w:r>
    </w:p>
    <w:p w14:paraId="65813155" w14:textId="77777777" w:rsidR="00B15635" w:rsidRPr="00521BEF" w:rsidRDefault="00B15635" w:rsidP="00B15635">
      <w:pPr>
        <w:spacing w:after="0" w:line="260" w:lineRule="atLeast"/>
        <w:jc w:val="both"/>
        <w:rPr>
          <w:rFonts w:ascii="Times New Roman" w:hAnsi="Times New Roman" w:cs="Times New Roman"/>
          <w:color w:val="000000"/>
          <w:sz w:val="24"/>
          <w:szCs w:val="24"/>
          <w:lang w:eastAsia="fr-FR"/>
        </w:rPr>
      </w:pPr>
      <w:r w:rsidRPr="00521BEF">
        <w:rPr>
          <w:rFonts w:ascii="Times New Roman" w:hAnsi="Times New Roman" w:cs="Times New Roman"/>
          <w:color w:val="000000"/>
          <w:sz w:val="24"/>
          <w:szCs w:val="24"/>
          <w:lang w:eastAsia="fr-FR"/>
        </w:rPr>
        <w:br/>
        <w:t xml:space="preserve">En effet, conformément à l'article L. 2212-2 du code général des collectivités territoriales (CGCT), « la police municipale a pour objet d'assurer le bon ordre, la sûreté, la sécurité et la salubrité publiques. Elle comprend notamment : [...]5° Le soin de prévenir, par des précautions convenables, et de faire cesser, par la distribution des secours nécessaires, les accidents et les fléaux calamiteux ainsi que les pollutions de toute nature, tels que les incendies, les inondations, les ruptures de digues, les éboulements de terre ou de rochers, les avalanches ou autres accidents </w:t>
      </w:r>
      <w:r w:rsidRPr="00521BEF">
        <w:rPr>
          <w:rFonts w:ascii="Times New Roman" w:hAnsi="Times New Roman" w:cs="Times New Roman"/>
          <w:color w:val="000000"/>
          <w:sz w:val="24"/>
          <w:szCs w:val="24"/>
          <w:lang w:eastAsia="fr-FR"/>
        </w:rPr>
        <w:lastRenderedPageBreak/>
        <w:t>naturels, les maladies épidémiques ou contagieuses, les épizooties, de pourvoir d'urgence à toutes les mesures d'assistance et de secours et, s'il y a lieu, de provoquer l'intervention de l'administration supérieure ».</w:t>
      </w:r>
    </w:p>
    <w:p w14:paraId="284E64FE" w14:textId="77777777" w:rsidR="00B15635" w:rsidRPr="00521BEF" w:rsidRDefault="00B15635" w:rsidP="00B15635">
      <w:pPr>
        <w:spacing w:after="0" w:line="260" w:lineRule="atLeast"/>
        <w:jc w:val="both"/>
        <w:rPr>
          <w:rFonts w:ascii="Times New Roman" w:hAnsi="Times New Roman" w:cs="Times New Roman"/>
          <w:color w:val="000000"/>
          <w:sz w:val="24"/>
          <w:szCs w:val="24"/>
          <w:lang w:eastAsia="fr-FR"/>
        </w:rPr>
      </w:pPr>
      <w:r w:rsidRPr="00521BEF">
        <w:rPr>
          <w:rFonts w:ascii="Times New Roman" w:hAnsi="Times New Roman" w:cs="Times New Roman"/>
          <w:color w:val="000000"/>
          <w:sz w:val="24"/>
          <w:szCs w:val="24"/>
          <w:lang w:eastAsia="fr-FR"/>
        </w:rPr>
        <w:br/>
        <w:t>Dans ce domaine, c'est souvent la carence du maire qui expose la commune à un risque de responsabilité.</w:t>
      </w:r>
      <w:r w:rsidRPr="00521BEF">
        <w:rPr>
          <w:rFonts w:ascii="Times New Roman" w:hAnsi="Times New Roman" w:cs="Times New Roman"/>
          <w:color w:val="000000"/>
          <w:sz w:val="24"/>
          <w:szCs w:val="24"/>
          <w:lang w:eastAsia="fr-FR"/>
        </w:rPr>
        <w:br/>
      </w:r>
      <w:r w:rsidRPr="00521BEF">
        <w:rPr>
          <w:rFonts w:ascii="Times New Roman" w:hAnsi="Times New Roman" w:cs="Times New Roman"/>
          <w:color w:val="000000"/>
          <w:sz w:val="24"/>
          <w:szCs w:val="24"/>
          <w:lang w:eastAsia="fr-FR"/>
        </w:rPr>
        <w:br/>
        <w:t>Ainsi, commet une faute la commune qui ne fait pas réaliser d'étude complémentaire ou un ouvrage pour protéger plusieurs immeubles exposés à un risque d'avalanche identifié</w:t>
      </w:r>
      <w:r w:rsidRPr="00521BEF">
        <w:rPr>
          <w:rFonts w:ascii="Times New Roman" w:hAnsi="Times New Roman" w:cs="Times New Roman"/>
          <w:noProof/>
          <w:color w:val="000000"/>
          <w:sz w:val="24"/>
          <w:szCs w:val="24"/>
          <w:lang w:eastAsia="fr-FR"/>
        </w:rPr>
        <w:drawing>
          <wp:inline distT="0" distB="0" distL="0" distR="0" wp14:anchorId="107F7B34" wp14:editId="05A645A6">
            <wp:extent cx="121920" cy="12192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21BEF">
        <w:rPr>
          <w:rFonts w:ascii="Times New Roman" w:hAnsi="Times New Roman" w:cs="Times New Roman"/>
          <w:color w:val="000000"/>
          <w:sz w:val="24"/>
          <w:szCs w:val="24"/>
          <w:lang w:eastAsia="fr-FR"/>
        </w:rPr>
        <w:t>(5).</w:t>
      </w:r>
      <w:r w:rsidRPr="00521BEF">
        <w:rPr>
          <w:rFonts w:ascii="Times New Roman" w:hAnsi="Times New Roman" w:cs="Times New Roman"/>
          <w:color w:val="000000"/>
          <w:sz w:val="24"/>
          <w:szCs w:val="24"/>
          <w:lang w:eastAsia="fr-FR"/>
        </w:rPr>
        <w:br/>
      </w:r>
      <w:r w:rsidRPr="00521BEF">
        <w:rPr>
          <w:rFonts w:ascii="Times New Roman" w:hAnsi="Times New Roman" w:cs="Times New Roman"/>
          <w:color w:val="000000"/>
          <w:sz w:val="24"/>
          <w:szCs w:val="24"/>
          <w:lang w:eastAsia="fr-FR"/>
        </w:rPr>
        <w:br/>
        <w:t>Mais le maire peut également engager la responsabilité de la commune pour avoir au contraire excédé ses pouvoirs. En matière de police administrative, les mesures prises par le maire doivent en effet être nécessaires, adaptées et proportionnées à la situation locale, faute de quoi elles seront sanctionnées par le juge. Or, de telles illégalités constituent également une faute susceptible d'entraîner par la suite un contentieux indemnitaire</w:t>
      </w:r>
      <w:r w:rsidRPr="00521BEF">
        <w:rPr>
          <w:rFonts w:ascii="Times New Roman" w:hAnsi="Times New Roman" w:cs="Times New Roman"/>
          <w:noProof/>
          <w:color w:val="000000"/>
          <w:sz w:val="24"/>
          <w:szCs w:val="24"/>
          <w:lang w:eastAsia="fr-FR"/>
        </w:rPr>
        <w:drawing>
          <wp:inline distT="0" distB="0" distL="0" distR="0" wp14:anchorId="56CA96EB" wp14:editId="350C9641">
            <wp:extent cx="121920" cy="1219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21BEF">
        <w:rPr>
          <w:rFonts w:ascii="Times New Roman" w:hAnsi="Times New Roman" w:cs="Times New Roman"/>
          <w:color w:val="000000"/>
          <w:sz w:val="24"/>
          <w:szCs w:val="24"/>
          <w:lang w:eastAsia="fr-FR"/>
        </w:rPr>
        <w:t>(6).</w:t>
      </w:r>
    </w:p>
    <w:p w14:paraId="62853951" w14:textId="77777777" w:rsidR="00B15635" w:rsidRPr="00521BEF" w:rsidRDefault="00B15635" w:rsidP="00B15635">
      <w:pPr>
        <w:spacing w:after="0" w:line="260" w:lineRule="atLeast"/>
        <w:jc w:val="both"/>
        <w:rPr>
          <w:rFonts w:ascii="Times New Roman" w:hAnsi="Times New Roman" w:cs="Times New Roman"/>
          <w:color w:val="000000"/>
          <w:sz w:val="24"/>
          <w:szCs w:val="24"/>
          <w:lang w:eastAsia="fr-FR"/>
        </w:rPr>
      </w:pPr>
      <w:r w:rsidRPr="00521BEF">
        <w:rPr>
          <w:rFonts w:ascii="Times New Roman" w:hAnsi="Times New Roman" w:cs="Times New Roman"/>
          <w:color w:val="000000"/>
          <w:sz w:val="24"/>
          <w:szCs w:val="24"/>
          <w:lang w:eastAsia="fr-FR"/>
        </w:rPr>
        <w:br/>
        <w:t>Enfin, la responsabilité d'une commune peut être engagée au titre de sa police d'urbanisme.</w:t>
      </w:r>
      <w:r w:rsidRPr="00521BEF">
        <w:rPr>
          <w:rFonts w:ascii="Times New Roman" w:hAnsi="Times New Roman" w:cs="Times New Roman"/>
          <w:color w:val="000000"/>
          <w:sz w:val="24"/>
          <w:szCs w:val="24"/>
          <w:lang w:eastAsia="fr-FR"/>
        </w:rPr>
        <w:br/>
      </w:r>
      <w:r w:rsidRPr="00521BEF">
        <w:rPr>
          <w:rFonts w:ascii="Times New Roman" w:hAnsi="Times New Roman" w:cs="Times New Roman"/>
          <w:color w:val="000000"/>
          <w:sz w:val="24"/>
          <w:szCs w:val="24"/>
          <w:lang w:eastAsia="fr-FR"/>
        </w:rPr>
        <w:br/>
        <w:t>Selon l'article R. 111-2 du code de l'urbanisme, le maire peut refuser un projet de construction ou l'assortir de prescriptions particulières, si celui-ci présente un risque pour la sécurité publique. L'existence d'un plan de prévention des risques naturels (PPRN) ne fait pas obstacle à l'application de cet article.</w:t>
      </w:r>
    </w:p>
    <w:p w14:paraId="2BF4B87C" w14:textId="77777777" w:rsidR="00B15635" w:rsidRPr="00521BEF" w:rsidRDefault="00B15635" w:rsidP="00B15635">
      <w:pPr>
        <w:spacing w:after="0" w:line="260" w:lineRule="atLeast"/>
        <w:jc w:val="both"/>
        <w:rPr>
          <w:rFonts w:ascii="Times New Roman" w:hAnsi="Times New Roman" w:cs="Times New Roman"/>
          <w:color w:val="000000"/>
          <w:sz w:val="24"/>
          <w:szCs w:val="24"/>
          <w:lang w:eastAsia="fr-FR"/>
        </w:rPr>
      </w:pPr>
      <w:r w:rsidRPr="00521BEF">
        <w:rPr>
          <w:rFonts w:ascii="Times New Roman" w:hAnsi="Times New Roman" w:cs="Times New Roman"/>
          <w:color w:val="000000"/>
          <w:sz w:val="24"/>
          <w:szCs w:val="24"/>
          <w:lang w:eastAsia="fr-FR"/>
        </w:rPr>
        <w:br/>
        <w:t>Ainsi, lorsque le projet est exposé à un risque spécifique dont la commune a connaissance, elle doit refuser le projet ou édicter des prescriptions, même s'il respecte le PPRN approuvé, dès l'instant où celui-ci n'est plus adapté ou lorsqu'il a sous-évalué le risque</w:t>
      </w:r>
      <w:r w:rsidRPr="00521BEF">
        <w:rPr>
          <w:rFonts w:ascii="Times New Roman" w:hAnsi="Times New Roman" w:cs="Times New Roman"/>
          <w:noProof/>
          <w:color w:val="000000"/>
          <w:sz w:val="24"/>
          <w:szCs w:val="24"/>
          <w:lang w:eastAsia="fr-FR"/>
        </w:rPr>
        <w:drawing>
          <wp:inline distT="0" distB="0" distL="0" distR="0" wp14:anchorId="3EED1022" wp14:editId="2790BDFF">
            <wp:extent cx="121920" cy="1219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21BEF">
        <w:rPr>
          <w:rFonts w:ascii="Times New Roman" w:hAnsi="Times New Roman" w:cs="Times New Roman"/>
          <w:color w:val="000000"/>
          <w:sz w:val="24"/>
          <w:szCs w:val="24"/>
          <w:lang w:eastAsia="fr-FR"/>
        </w:rPr>
        <w:t>(7). A défaut, la commune commet une erreur manifeste d'appréciation et engage sa responsabilité</w:t>
      </w:r>
      <w:r w:rsidRPr="00521BEF">
        <w:rPr>
          <w:rFonts w:ascii="Times New Roman" w:hAnsi="Times New Roman" w:cs="Times New Roman"/>
          <w:noProof/>
          <w:color w:val="000000"/>
          <w:sz w:val="24"/>
          <w:szCs w:val="24"/>
          <w:lang w:eastAsia="fr-FR"/>
        </w:rPr>
        <w:drawing>
          <wp:inline distT="0" distB="0" distL="0" distR="0" wp14:anchorId="76D5AAB6" wp14:editId="7E030877">
            <wp:extent cx="121920" cy="12192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21BEF">
        <w:rPr>
          <w:rFonts w:ascii="Times New Roman" w:hAnsi="Times New Roman" w:cs="Times New Roman"/>
          <w:color w:val="000000"/>
          <w:sz w:val="24"/>
          <w:szCs w:val="24"/>
          <w:lang w:eastAsia="fr-FR"/>
        </w:rPr>
        <w:t>(8).</w:t>
      </w:r>
      <w:r w:rsidRPr="00521BEF">
        <w:rPr>
          <w:rFonts w:ascii="Times New Roman" w:hAnsi="Times New Roman" w:cs="Times New Roman"/>
          <w:color w:val="000000"/>
          <w:sz w:val="24"/>
          <w:szCs w:val="24"/>
          <w:lang w:eastAsia="fr-FR"/>
        </w:rPr>
        <w:br/>
      </w:r>
      <w:r w:rsidRPr="00521BEF">
        <w:rPr>
          <w:rFonts w:ascii="Times New Roman" w:hAnsi="Times New Roman" w:cs="Times New Roman"/>
          <w:color w:val="000000"/>
          <w:sz w:val="24"/>
          <w:szCs w:val="24"/>
          <w:lang w:eastAsia="fr-FR"/>
        </w:rPr>
        <w:br/>
        <w:t>De la même façon, cette responsabilité pourra résulter d'une erreur de classement des terrains dans son document d'urbanisme</w:t>
      </w:r>
      <w:r w:rsidRPr="00521BEF">
        <w:rPr>
          <w:rFonts w:ascii="Times New Roman" w:hAnsi="Times New Roman" w:cs="Times New Roman"/>
          <w:noProof/>
          <w:color w:val="000000"/>
          <w:sz w:val="24"/>
          <w:szCs w:val="24"/>
          <w:lang w:eastAsia="fr-FR"/>
        </w:rPr>
        <w:drawing>
          <wp:inline distT="0" distB="0" distL="0" distR="0" wp14:anchorId="5568C347" wp14:editId="2F1852FC">
            <wp:extent cx="121920" cy="12192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21BEF">
        <w:rPr>
          <w:rFonts w:ascii="Times New Roman" w:hAnsi="Times New Roman" w:cs="Times New Roman"/>
          <w:color w:val="000000"/>
          <w:sz w:val="24"/>
          <w:szCs w:val="24"/>
          <w:lang w:eastAsia="fr-FR"/>
        </w:rPr>
        <w:t>(9).</w:t>
      </w:r>
    </w:p>
    <w:p w14:paraId="665641A4" w14:textId="77777777" w:rsidR="00B15635" w:rsidRPr="00521BEF" w:rsidRDefault="00B15635" w:rsidP="00B15635">
      <w:pPr>
        <w:spacing w:after="0" w:line="260" w:lineRule="atLeast"/>
        <w:jc w:val="both"/>
        <w:rPr>
          <w:rFonts w:ascii="Times New Roman" w:hAnsi="Times New Roman" w:cs="Times New Roman"/>
          <w:color w:val="000000"/>
          <w:sz w:val="24"/>
          <w:szCs w:val="24"/>
          <w:lang w:eastAsia="fr-FR"/>
        </w:rPr>
      </w:pPr>
      <w:r w:rsidRPr="00521BEF">
        <w:rPr>
          <w:rFonts w:ascii="Times New Roman" w:hAnsi="Times New Roman" w:cs="Times New Roman"/>
          <w:color w:val="000000"/>
          <w:sz w:val="24"/>
          <w:szCs w:val="24"/>
          <w:lang w:eastAsia="fr-FR"/>
        </w:rPr>
        <w:br/>
        <w:t>On le voit au travers de ces exemples, les risques de mise en jeu de la responsabilité d'une commune à la suite d'une calamité publique ne sont pas neutres.</w:t>
      </w:r>
    </w:p>
    <w:p w14:paraId="16210D31" w14:textId="77777777" w:rsidR="00B15635" w:rsidRPr="00521BEF" w:rsidRDefault="00B15635" w:rsidP="00B15635">
      <w:pPr>
        <w:spacing w:after="0" w:line="260" w:lineRule="atLeast"/>
        <w:jc w:val="both"/>
        <w:rPr>
          <w:rFonts w:ascii="Times New Roman" w:hAnsi="Times New Roman" w:cs="Times New Roman"/>
          <w:color w:val="000000"/>
          <w:sz w:val="24"/>
          <w:szCs w:val="24"/>
          <w:lang w:eastAsia="fr-FR"/>
        </w:rPr>
      </w:pPr>
      <w:r w:rsidRPr="00521BEF">
        <w:rPr>
          <w:rFonts w:ascii="Times New Roman" w:hAnsi="Times New Roman" w:cs="Times New Roman"/>
          <w:color w:val="000000"/>
          <w:sz w:val="24"/>
          <w:szCs w:val="24"/>
          <w:lang w:eastAsia="fr-FR"/>
        </w:rPr>
        <w:br/>
        <w:t>D'où l'importance de souscrire un contrat de responsabilité afin d'assurer non seulement la prise en charge de sa défense en cas de mise en cause judiciaire mais aussi de couvrir les éventuels dommages et intérêts susceptibles d'être prononcés par les juridictions et dont les montants peuvent parfois être conséquents (préjudice corporel et matériel, perte de valeur vénale d'un bien, etc.).</w:t>
      </w:r>
    </w:p>
    <w:p w14:paraId="0D03D7C3" w14:textId="77777777" w:rsidR="00B15635" w:rsidRPr="00521BEF" w:rsidRDefault="00B15635" w:rsidP="00B15635">
      <w:pPr>
        <w:spacing w:after="0" w:line="260" w:lineRule="atLeast"/>
        <w:jc w:val="both"/>
        <w:rPr>
          <w:rFonts w:ascii="Times New Roman" w:hAnsi="Times New Roman" w:cs="Times New Roman"/>
          <w:color w:val="000000"/>
          <w:sz w:val="24"/>
          <w:szCs w:val="24"/>
          <w:lang w:eastAsia="fr-FR"/>
        </w:rPr>
      </w:pPr>
      <w:r w:rsidRPr="00521BEF">
        <w:rPr>
          <w:rFonts w:ascii="Times New Roman" w:hAnsi="Times New Roman" w:cs="Times New Roman"/>
          <w:color w:val="000000"/>
          <w:sz w:val="24"/>
          <w:szCs w:val="24"/>
          <w:lang w:eastAsia="fr-FR"/>
        </w:rPr>
        <w:br/>
        <w:t>La plupart des collectivités ont intégré aujourd'hui ce risque dans leur marché d'assurances et les produits proposés en réponse par les assureurs couvrent ces différentes situations, que ce soit au titre des garanties principales ou encore de garanties spécifiques comme l'urbanisme, ou encore la responsabilité des collectivités à l'égard des personnes requises ou bénévoles</w:t>
      </w:r>
      <w:r w:rsidRPr="00521BEF">
        <w:rPr>
          <w:rFonts w:ascii="Times New Roman" w:hAnsi="Times New Roman" w:cs="Times New Roman"/>
          <w:noProof/>
          <w:color w:val="000000"/>
          <w:sz w:val="24"/>
          <w:szCs w:val="24"/>
          <w:lang w:eastAsia="fr-FR"/>
        </w:rPr>
        <w:drawing>
          <wp:inline distT="0" distB="0" distL="0" distR="0" wp14:anchorId="53345F5E" wp14:editId="1B3B807A">
            <wp:extent cx="121920" cy="12192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21BEF">
        <w:rPr>
          <w:rFonts w:ascii="Times New Roman" w:hAnsi="Times New Roman" w:cs="Times New Roman"/>
          <w:color w:val="000000"/>
          <w:sz w:val="24"/>
          <w:szCs w:val="24"/>
          <w:lang w:eastAsia="fr-FR"/>
        </w:rPr>
        <w:t>(10).</w:t>
      </w:r>
      <w:r w:rsidRPr="00521BEF">
        <w:rPr>
          <w:rFonts w:ascii="Times New Roman" w:hAnsi="Times New Roman" w:cs="Times New Roman"/>
          <w:color w:val="000000"/>
          <w:sz w:val="24"/>
          <w:szCs w:val="24"/>
          <w:lang w:eastAsia="fr-FR"/>
        </w:rPr>
        <w:br/>
      </w:r>
      <w:r w:rsidRPr="00521BEF">
        <w:rPr>
          <w:rFonts w:ascii="Times New Roman" w:hAnsi="Times New Roman" w:cs="Times New Roman"/>
          <w:color w:val="000000"/>
          <w:sz w:val="24"/>
          <w:szCs w:val="24"/>
          <w:lang w:eastAsia="fr-FR"/>
        </w:rPr>
        <w:br/>
        <w:t>Mais la commune n'est pas la seule exposée. Le maire, et les élus, à titre personnel, peuvent également engager sous certaines conditions leur responsabilité pénale, voire leur responsabilité civile personnelle.</w:t>
      </w:r>
    </w:p>
    <w:p w14:paraId="677907D7" w14:textId="77777777" w:rsidR="00B15635" w:rsidRPr="00521BEF" w:rsidRDefault="00B15635" w:rsidP="00B15635">
      <w:pPr>
        <w:spacing w:after="0" w:line="260" w:lineRule="atLeast"/>
        <w:jc w:val="both"/>
        <w:rPr>
          <w:rFonts w:ascii="Times New Roman" w:hAnsi="Times New Roman" w:cs="Times New Roman"/>
          <w:b/>
          <w:bCs/>
          <w:color w:val="000000"/>
          <w:sz w:val="24"/>
          <w:szCs w:val="24"/>
          <w:lang w:eastAsia="fr-FR"/>
        </w:rPr>
      </w:pPr>
      <w:r w:rsidRPr="00521BEF">
        <w:rPr>
          <w:rFonts w:ascii="Times New Roman" w:hAnsi="Times New Roman" w:cs="Times New Roman"/>
          <w:color w:val="000000"/>
          <w:sz w:val="24"/>
          <w:szCs w:val="24"/>
          <w:lang w:eastAsia="fr-FR"/>
        </w:rPr>
        <w:softHyphen/>
      </w:r>
      <w:r w:rsidRPr="00521BEF">
        <w:rPr>
          <w:rFonts w:ascii="Times New Roman" w:hAnsi="Times New Roman" w:cs="Times New Roman"/>
          <w:b/>
          <w:bCs/>
          <w:color w:val="000000"/>
          <w:sz w:val="24"/>
          <w:szCs w:val="24"/>
          <w:lang w:eastAsia="fr-FR"/>
        </w:rPr>
        <w:t>[…]</w:t>
      </w:r>
    </w:p>
    <w:p w14:paraId="292E9F32" w14:textId="77777777" w:rsidR="00B15635" w:rsidRPr="00521BEF" w:rsidRDefault="00B15635" w:rsidP="00B15635">
      <w:pPr>
        <w:spacing w:after="0" w:line="260" w:lineRule="atLeast"/>
        <w:jc w:val="both"/>
        <w:rPr>
          <w:rFonts w:ascii="Times New Roman" w:hAnsi="Times New Roman" w:cs="Times New Roman"/>
          <w:b/>
          <w:bCs/>
          <w:color w:val="000000"/>
          <w:sz w:val="24"/>
          <w:szCs w:val="24"/>
          <w:lang w:eastAsia="fr-FR"/>
        </w:rPr>
      </w:pPr>
    </w:p>
    <w:p w14:paraId="7C9DFDB4" w14:textId="77777777" w:rsidR="00B15635" w:rsidRDefault="00B15635" w:rsidP="00B15635">
      <w:pPr>
        <w:spacing w:after="0" w:line="260" w:lineRule="atLeast"/>
        <w:ind w:left="426"/>
        <w:rPr>
          <w:rFonts w:ascii="Times New Roman" w:hAnsi="Times New Roman" w:cs="Times New Roman"/>
          <w:b/>
          <w:bCs/>
          <w:color w:val="000000"/>
          <w:sz w:val="24"/>
          <w:szCs w:val="24"/>
          <w:lang w:eastAsia="fr-FR"/>
        </w:rPr>
      </w:pPr>
      <w:r w:rsidRPr="00521BEF">
        <w:rPr>
          <w:rFonts w:ascii="Times New Roman" w:hAnsi="Times New Roman" w:cs="Times New Roman"/>
          <w:color w:val="000000"/>
          <w:sz w:val="24"/>
          <w:szCs w:val="24"/>
          <w:lang w:eastAsia="fr-FR"/>
        </w:rPr>
        <w:lastRenderedPageBreak/>
        <w:t xml:space="preserve">(1) </w:t>
      </w:r>
      <w:proofErr w:type="spellStart"/>
      <w:r w:rsidRPr="00521BEF">
        <w:rPr>
          <w:rFonts w:ascii="Times New Roman" w:hAnsi="Times New Roman" w:cs="Times New Roman"/>
          <w:color w:val="000000"/>
          <w:sz w:val="24"/>
          <w:szCs w:val="24"/>
          <w:lang w:eastAsia="fr-FR"/>
        </w:rPr>
        <w:t>Civ</w:t>
      </w:r>
      <w:proofErr w:type="spellEnd"/>
      <w:r w:rsidRPr="00521BEF">
        <w:rPr>
          <w:rFonts w:ascii="Times New Roman" w:hAnsi="Times New Roman" w:cs="Times New Roman"/>
          <w:color w:val="000000"/>
          <w:sz w:val="24"/>
          <w:szCs w:val="24"/>
          <w:lang w:eastAsia="fr-FR"/>
        </w:rPr>
        <w:t>. 3</w:t>
      </w:r>
      <w:r w:rsidRPr="00521BEF">
        <w:rPr>
          <w:rFonts w:ascii="Times New Roman" w:hAnsi="Times New Roman" w:cs="Times New Roman"/>
          <w:color w:val="000000"/>
          <w:sz w:val="24"/>
          <w:szCs w:val="24"/>
          <w:vertAlign w:val="superscript"/>
          <w:lang w:eastAsia="fr-FR"/>
        </w:rPr>
        <w:t>e</w:t>
      </w:r>
      <w:r w:rsidRPr="00521BEF">
        <w:rPr>
          <w:rFonts w:ascii="Times New Roman" w:hAnsi="Times New Roman" w:cs="Times New Roman"/>
          <w:color w:val="000000"/>
          <w:sz w:val="24"/>
          <w:szCs w:val="24"/>
          <w:lang w:eastAsia="fr-FR"/>
        </w:rPr>
        <w:t xml:space="preserve">, 22 nov. 1994, n° 93-11.748, inédit ; CE 2 oct. 1987, n° 71122, </w:t>
      </w:r>
      <w:proofErr w:type="spellStart"/>
      <w:r w:rsidRPr="00521BEF">
        <w:rPr>
          <w:rFonts w:ascii="Times New Roman" w:hAnsi="Times New Roman" w:cs="Times New Roman"/>
          <w:i/>
          <w:iCs/>
          <w:color w:val="000000"/>
          <w:sz w:val="24"/>
          <w:szCs w:val="24"/>
          <w:lang w:eastAsia="fr-FR"/>
        </w:rPr>
        <w:t>C</w:t>
      </w:r>
      <w:r w:rsidRPr="00521BEF">
        <w:rPr>
          <w:rFonts w:ascii="Times New Roman" w:hAnsi="Times New Roman" w:cs="Times New Roman"/>
          <w:i/>
          <w:iCs/>
          <w:color w:val="000000"/>
          <w:sz w:val="24"/>
          <w:szCs w:val="24"/>
          <w:vertAlign w:val="superscript"/>
          <w:lang w:eastAsia="fr-FR"/>
        </w:rPr>
        <w:t>ne</w:t>
      </w:r>
      <w:proofErr w:type="spellEnd"/>
      <w:r w:rsidRPr="00521BEF">
        <w:rPr>
          <w:rFonts w:ascii="Times New Roman" w:hAnsi="Times New Roman" w:cs="Times New Roman"/>
          <w:i/>
          <w:iCs/>
          <w:color w:val="000000"/>
          <w:sz w:val="24"/>
          <w:szCs w:val="24"/>
          <w:lang w:eastAsia="fr-FR"/>
        </w:rPr>
        <w:t xml:space="preserve"> de Labastide-</w:t>
      </w:r>
      <w:proofErr w:type="spellStart"/>
      <w:r w:rsidRPr="00521BEF">
        <w:rPr>
          <w:rFonts w:ascii="Times New Roman" w:hAnsi="Times New Roman" w:cs="Times New Roman"/>
          <w:i/>
          <w:iCs/>
          <w:color w:val="000000"/>
          <w:sz w:val="24"/>
          <w:szCs w:val="24"/>
          <w:lang w:eastAsia="fr-FR"/>
        </w:rPr>
        <w:t>Clairence</w:t>
      </w:r>
      <w:proofErr w:type="spellEnd"/>
      <w:r w:rsidRPr="00521BEF">
        <w:rPr>
          <w:rFonts w:ascii="Times New Roman" w:hAnsi="Times New Roman" w:cs="Times New Roman"/>
          <w:color w:val="000000"/>
          <w:sz w:val="24"/>
          <w:szCs w:val="24"/>
          <w:lang w:eastAsia="fr-FR"/>
        </w:rPr>
        <w:t>, Lebon</w:t>
      </w:r>
      <w:r w:rsidRPr="00521BEF">
        <w:rPr>
          <w:rFonts w:ascii="Times New Roman" w:hAnsi="Times New Roman" w:cs="Times New Roman"/>
          <w:noProof/>
          <w:color w:val="000000"/>
          <w:sz w:val="24"/>
          <w:szCs w:val="24"/>
          <w:lang w:eastAsia="fr-FR"/>
        </w:rPr>
        <w:drawing>
          <wp:inline distT="0" distB="0" distL="0" distR="0" wp14:anchorId="54BC8E4D" wp14:editId="60AC12D6">
            <wp:extent cx="121920" cy="12192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21BEF">
        <w:rPr>
          <w:rFonts w:ascii="Times New Roman" w:hAnsi="Times New Roman" w:cs="Times New Roman"/>
          <w:color w:val="000000"/>
          <w:sz w:val="24"/>
          <w:szCs w:val="24"/>
          <w:lang w:eastAsia="fr-FR"/>
        </w:rPr>
        <w:t>.</w:t>
      </w:r>
      <w:r w:rsidRPr="00521BEF">
        <w:rPr>
          <w:rFonts w:ascii="Times New Roman" w:hAnsi="Times New Roman" w:cs="Times New Roman"/>
          <w:color w:val="000000"/>
          <w:sz w:val="24"/>
          <w:szCs w:val="24"/>
          <w:lang w:eastAsia="fr-FR"/>
        </w:rPr>
        <w:br/>
        <w:t xml:space="preserve">(2) Pour un ex. récent, CE 15 nov. 2017, n° 403367, </w:t>
      </w:r>
      <w:r w:rsidRPr="00521BEF">
        <w:rPr>
          <w:rFonts w:ascii="Times New Roman" w:hAnsi="Times New Roman" w:cs="Times New Roman"/>
          <w:i/>
          <w:iCs/>
          <w:color w:val="000000"/>
          <w:sz w:val="24"/>
          <w:szCs w:val="24"/>
          <w:lang w:eastAsia="fr-FR"/>
        </w:rPr>
        <w:t>S</w:t>
      </w:r>
      <w:r w:rsidRPr="00521BEF">
        <w:rPr>
          <w:rFonts w:ascii="Times New Roman" w:hAnsi="Times New Roman" w:cs="Times New Roman"/>
          <w:i/>
          <w:iCs/>
          <w:color w:val="000000"/>
          <w:sz w:val="24"/>
          <w:szCs w:val="24"/>
          <w:vertAlign w:val="superscript"/>
          <w:lang w:eastAsia="fr-FR"/>
        </w:rPr>
        <w:t>té</w:t>
      </w:r>
      <w:r w:rsidRPr="00521BEF">
        <w:rPr>
          <w:rFonts w:ascii="Times New Roman" w:hAnsi="Times New Roman" w:cs="Times New Roman"/>
          <w:i/>
          <w:iCs/>
          <w:color w:val="000000"/>
          <w:sz w:val="24"/>
          <w:szCs w:val="24"/>
          <w:lang w:eastAsia="fr-FR"/>
        </w:rPr>
        <w:t xml:space="preserve"> </w:t>
      </w:r>
      <w:proofErr w:type="spellStart"/>
      <w:r w:rsidRPr="00521BEF">
        <w:rPr>
          <w:rFonts w:ascii="Times New Roman" w:hAnsi="Times New Roman" w:cs="Times New Roman"/>
          <w:i/>
          <w:iCs/>
          <w:color w:val="000000"/>
          <w:sz w:val="24"/>
          <w:szCs w:val="24"/>
          <w:lang w:eastAsia="fr-FR"/>
        </w:rPr>
        <w:t>Swisslife</w:t>
      </w:r>
      <w:proofErr w:type="spellEnd"/>
      <w:r w:rsidRPr="00521BEF">
        <w:rPr>
          <w:rFonts w:ascii="Times New Roman" w:hAnsi="Times New Roman" w:cs="Times New Roman"/>
          <w:i/>
          <w:iCs/>
          <w:color w:val="000000"/>
          <w:sz w:val="24"/>
          <w:szCs w:val="24"/>
          <w:lang w:eastAsia="fr-FR"/>
        </w:rPr>
        <w:t xml:space="preserve"> Assurances de biens</w:t>
      </w:r>
      <w:r w:rsidRPr="00521BEF">
        <w:rPr>
          <w:rFonts w:ascii="Times New Roman" w:hAnsi="Times New Roman" w:cs="Times New Roman"/>
          <w:color w:val="000000"/>
          <w:sz w:val="24"/>
          <w:szCs w:val="24"/>
          <w:lang w:eastAsia="fr-FR"/>
        </w:rPr>
        <w:t>, Lebon</w:t>
      </w:r>
      <w:r w:rsidRPr="00521BEF">
        <w:rPr>
          <w:rFonts w:ascii="Times New Roman" w:hAnsi="Times New Roman" w:cs="Times New Roman"/>
          <w:noProof/>
          <w:color w:val="000000"/>
          <w:sz w:val="24"/>
          <w:szCs w:val="24"/>
          <w:lang w:eastAsia="fr-FR"/>
        </w:rPr>
        <w:drawing>
          <wp:inline distT="0" distB="0" distL="0" distR="0" wp14:anchorId="445B870A" wp14:editId="065868AC">
            <wp:extent cx="121920" cy="12192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21BEF">
        <w:rPr>
          <w:rFonts w:ascii="Times New Roman" w:hAnsi="Times New Roman" w:cs="Times New Roman"/>
          <w:color w:val="000000"/>
          <w:sz w:val="24"/>
          <w:szCs w:val="24"/>
          <w:lang w:eastAsia="fr-FR"/>
        </w:rPr>
        <w:t xml:space="preserve"> ; AJDA 2017. 2278</w:t>
      </w:r>
      <w:r w:rsidRPr="00521BEF">
        <w:rPr>
          <w:rFonts w:ascii="Times New Roman" w:hAnsi="Times New Roman" w:cs="Times New Roman"/>
          <w:noProof/>
          <w:color w:val="000000"/>
          <w:sz w:val="24"/>
          <w:szCs w:val="24"/>
          <w:lang w:eastAsia="fr-FR"/>
        </w:rPr>
        <w:drawing>
          <wp:inline distT="0" distB="0" distL="0" distR="0" wp14:anchorId="08B44064" wp14:editId="0616EEC2">
            <wp:extent cx="121920" cy="12192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21BEF">
        <w:rPr>
          <w:rFonts w:ascii="Times New Roman" w:hAnsi="Times New Roman" w:cs="Times New Roman"/>
          <w:color w:val="000000"/>
          <w:sz w:val="24"/>
          <w:szCs w:val="24"/>
          <w:lang w:eastAsia="fr-FR"/>
        </w:rPr>
        <w:t>.</w:t>
      </w:r>
      <w:r w:rsidRPr="00521BEF">
        <w:rPr>
          <w:rFonts w:ascii="Times New Roman" w:hAnsi="Times New Roman" w:cs="Times New Roman"/>
          <w:color w:val="000000"/>
          <w:sz w:val="24"/>
          <w:szCs w:val="24"/>
          <w:lang w:eastAsia="fr-FR"/>
        </w:rPr>
        <w:br/>
        <w:t xml:space="preserve">(3) CE 26 juill. 2006, n° 272625, </w:t>
      </w:r>
      <w:proofErr w:type="spellStart"/>
      <w:r w:rsidRPr="00521BEF">
        <w:rPr>
          <w:rFonts w:ascii="Times New Roman" w:hAnsi="Times New Roman" w:cs="Times New Roman"/>
          <w:i/>
          <w:iCs/>
          <w:color w:val="000000"/>
          <w:sz w:val="24"/>
          <w:szCs w:val="24"/>
          <w:lang w:eastAsia="fr-FR"/>
        </w:rPr>
        <w:t>C</w:t>
      </w:r>
      <w:r w:rsidRPr="00521BEF">
        <w:rPr>
          <w:rFonts w:ascii="Times New Roman" w:hAnsi="Times New Roman" w:cs="Times New Roman"/>
          <w:i/>
          <w:iCs/>
          <w:color w:val="000000"/>
          <w:sz w:val="24"/>
          <w:szCs w:val="24"/>
          <w:vertAlign w:val="superscript"/>
          <w:lang w:eastAsia="fr-FR"/>
        </w:rPr>
        <w:t>ne</w:t>
      </w:r>
      <w:proofErr w:type="spellEnd"/>
      <w:r w:rsidRPr="00521BEF">
        <w:rPr>
          <w:rFonts w:ascii="Times New Roman" w:hAnsi="Times New Roman" w:cs="Times New Roman"/>
          <w:i/>
          <w:iCs/>
          <w:color w:val="000000"/>
          <w:sz w:val="24"/>
          <w:szCs w:val="24"/>
          <w:lang w:eastAsia="fr-FR"/>
        </w:rPr>
        <w:t xml:space="preserve"> de Port-Louis</w:t>
      </w:r>
      <w:r w:rsidRPr="00521BEF">
        <w:rPr>
          <w:rFonts w:ascii="Times New Roman" w:hAnsi="Times New Roman" w:cs="Times New Roman"/>
          <w:color w:val="000000"/>
          <w:sz w:val="24"/>
          <w:szCs w:val="24"/>
          <w:lang w:eastAsia="fr-FR"/>
        </w:rPr>
        <w:t>.</w:t>
      </w:r>
      <w:r w:rsidRPr="00521BEF">
        <w:rPr>
          <w:rFonts w:ascii="Times New Roman" w:hAnsi="Times New Roman" w:cs="Times New Roman"/>
          <w:color w:val="000000"/>
          <w:sz w:val="24"/>
          <w:szCs w:val="24"/>
          <w:lang w:eastAsia="fr-FR"/>
        </w:rPr>
        <w:br/>
        <w:t>(4) CAA Bordeaux, 19 janv. 2016, n° 14BX00336.</w:t>
      </w:r>
      <w:r w:rsidRPr="00521BEF">
        <w:rPr>
          <w:rFonts w:ascii="Times New Roman" w:hAnsi="Times New Roman" w:cs="Times New Roman"/>
          <w:color w:val="000000"/>
          <w:sz w:val="24"/>
          <w:szCs w:val="24"/>
          <w:lang w:eastAsia="fr-FR"/>
        </w:rPr>
        <w:br/>
        <w:t>(5) CAA Lyon, 15 juin 2004, n° 02LY01879.</w:t>
      </w:r>
      <w:r w:rsidRPr="00521BEF">
        <w:rPr>
          <w:rFonts w:ascii="Times New Roman" w:hAnsi="Times New Roman" w:cs="Times New Roman"/>
          <w:color w:val="000000"/>
          <w:sz w:val="24"/>
          <w:szCs w:val="24"/>
          <w:lang w:eastAsia="fr-FR"/>
        </w:rPr>
        <w:br/>
        <w:t>(6) CAA Marseille, 16 oct. 2017, n° 16MA04004.</w:t>
      </w:r>
      <w:r w:rsidRPr="00521BEF">
        <w:rPr>
          <w:rFonts w:ascii="Times New Roman" w:hAnsi="Times New Roman" w:cs="Times New Roman"/>
          <w:color w:val="000000"/>
          <w:sz w:val="24"/>
          <w:szCs w:val="24"/>
          <w:lang w:eastAsia="fr-FR"/>
        </w:rPr>
        <w:br/>
        <w:t>(7) CAA Bordeaux, 8 mars 2016, n° 14BX01018.</w:t>
      </w:r>
      <w:r w:rsidRPr="00521BEF">
        <w:rPr>
          <w:rFonts w:ascii="Times New Roman" w:hAnsi="Times New Roman" w:cs="Times New Roman"/>
          <w:color w:val="000000"/>
          <w:sz w:val="24"/>
          <w:szCs w:val="24"/>
          <w:lang w:eastAsia="fr-FR"/>
        </w:rPr>
        <w:br/>
        <w:t xml:space="preserve">(8) </w:t>
      </w:r>
      <w:bookmarkStart w:id="0" w:name="_Hlk65293136"/>
      <w:r w:rsidRPr="00521BEF">
        <w:rPr>
          <w:rFonts w:ascii="Times New Roman" w:hAnsi="Times New Roman" w:cs="Times New Roman"/>
          <w:color w:val="000000"/>
          <w:sz w:val="24"/>
          <w:szCs w:val="24"/>
          <w:lang w:eastAsia="fr-FR"/>
        </w:rPr>
        <w:t xml:space="preserve">CE 18 déc. 2019, n° 423681, </w:t>
      </w:r>
      <w:proofErr w:type="spellStart"/>
      <w:r w:rsidRPr="00521BEF">
        <w:rPr>
          <w:rFonts w:ascii="Times New Roman" w:hAnsi="Times New Roman" w:cs="Times New Roman"/>
          <w:i/>
          <w:iCs/>
          <w:color w:val="000000"/>
          <w:sz w:val="24"/>
          <w:szCs w:val="24"/>
          <w:lang w:eastAsia="fr-FR"/>
        </w:rPr>
        <w:t>C</w:t>
      </w:r>
      <w:r w:rsidRPr="00521BEF">
        <w:rPr>
          <w:rFonts w:ascii="Times New Roman" w:hAnsi="Times New Roman" w:cs="Times New Roman"/>
          <w:i/>
          <w:iCs/>
          <w:color w:val="000000"/>
          <w:sz w:val="24"/>
          <w:szCs w:val="24"/>
          <w:vertAlign w:val="superscript"/>
          <w:lang w:eastAsia="fr-FR"/>
        </w:rPr>
        <w:t>ne</w:t>
      </w:r>
      <w:proofErr w:type="spellEnd"/>
      <w:r w:rsidRPr="00521BEF">
        <w:rPr>
          <w:rFonts w:ascii="Times New Roman" w:hAnsi="Times New Roman" w:cs="Times New Roman"/>
          <w:i/>
          <w:iCs/>
          <w:color w:val="000000"/>
          <w:sz w:val="24"/>
          <w:szCs w:val="24"/>
          <w:lang w:eastAsia="fr-FR"/>
        </w:rPr>
        <w:t xml:space="preserve"> de L'Aiguillon-sur-Mer</w:t>
      </w:r>
      <w:r w:rsidRPr="00521BEF">
        <w:rPr>
          <w:rFonts w:ascii="Times New Roman" w:hAnsi="Times New Roman" w:cs="Times New Roman"/>
          <w:color w:val="000000"/>
          <w:sz w:val="24"/>
          <w:szCs w:val="24"/>
          <w:lang w:eastAsia="fr-FR"/>
        </w:rPr>
        <w:t xml:space="preserve"> </w:t>
      </w:r>
      <w:bookmarkEnd w:id="0"/>
      <w:r w:rsidRPr="00521BEF">
        <w:rPr>
          <w:rFonts w:ascii="Times New Roman" w:hAnsi="Times New Roman" w:cs="Times New Roman"/>
          <w:color w:val="000000"/>
          <w:sz w:val="24"/>
          <w:szCs w:val="24"/>
          <w:lang w:eastAsia="fr-FR"/>
        </w:rPr>
        <w:t>; TA Marseille, 27 oct. 2016, n° 150797.</w:t>
      </w:r>
      <w:r w:rsidRPr="00521BEF">
        <w:rPr>
          <w:rFonts w:ascii="Times New Roman" w:hAnsi="Times New Roman" w:cs="Times New Roman"/>
          <w:color w:val="000000"/>
          <w:sz w:val="24"/>
          <w:szCs w:val="24"/>
          <w:lang w:eastAsia="fr-FR"/>
        </w:rPr>
        <w:br/>
        <w:t xml:space="preserve">(9) CAA Bordeaux, 14 juin 2016, n° 14BX02617, </w:t>
      </w:r>
      <w:proofErr w:type="spellStart"/>
      <w:r w:rsidRPr="00521BEF">
        <w:rPr>
          <w:rFonts w:ascii="Times New Roman" w:hAnsi="Times New Roman" w:cs="Times New Roman"/>
          <w:i/>
          <w:iCs/>
          <w:color w:val="000000"/>
          <w:sz w:val="24"/>
          <w:szCs w:val="24"/>
          <w:lang w:eastAsia="fr-FR"/>
        </w:rPr>
        <w:t>C</w:t>
      </w:r>
      <w:r w:rsidRPr="00521BEF">
        <w:rPr>
          <w:rFonts w:ascii="Times New Roman" w:hAnsi="Times New Roman" w:cs="Times New Roman"/>
          <w:i/>
          <w:iCs/>
          <w:color w:val="000000"/>
          <w:sz w:val="24"/>
          <w:szCs w:val="24"/>
          <w:vertAlign w:val="superscript"/>
          <w:lang w:eastAsia="fr-FR"/>
        </w:rPr>
        <w:t>ne</w:t>
      </w:r>
      <w:proofErr w:type="spellEnd"/>
      <w:r w:rsidRPr="00521BEF">
        <w:rPr>
          <w:rFonts w:ascii="Times New Roman" w:hAnsi="Times New Roman" w:cs="Times New Roman"/>
          <w:i/>
          <w:iCs/>
          <w:color w:val="000000"/>
          <w:sz w:val="24"/>
          <w:szCs w:val="24"/>
          <w:lang w:eastAsia="fr-FR"/>
        </w:rPr>
        <w:t xml:space="preserve"> d'Aytré.</w:t>
      </w:r>
      <w:r w:rsidRPr="00521BEF">
        <w:rPr>
          <w:rFonts w:ascii="Times New Roman" w:hAnsi="Times New Roman" w:cs="Times New Roman"/>
          <w:color w:val="000000"/>
          <w:sz w:val="24"/>
          <w:szCs w:val="24"/>
          <w:lang w:eastAsia="fr-FR"/>
        </w:rPr>
        <w:t xml:space="preserve"> </w:t>
      </w:r>
      <w:r w:rsidRPr="00521BEF">
        <w:rPr>
          <w:rFonts w:ascii="Times New Roman" w:hAnsi="Times New Roman" w:cs="Times New Roman"/>
          <w:color w:val="000000"/>
          <w:sz w:val="24"/>
          <w:szCs w:val="24"/>
          <w:lang w:eastAsia="fr-FR"/>
        </w:rPr>
        <w:br/>
        <w:t>(10) Longtemps, les assureurs ont exclu des contrats de responsabilité les dommages provoqués par les débordements d'eau de mer et de cours d'eau, considérant que les conséquences de ces risques étaient trop lourdes à porter. Ceci est moins vrai aujourd'hui. Certains assureurs ont en effet pris la décision de revenir sur cette exclusion et de couvrir ce risque sous certaines conditions.</w:t>
      </w:r>
      <w:r w:rsidRPr="00521BEF">
        <w:rPr>
          <w:rFonts w:ascii="Times New Roman" w:hAnsi="Times New Roman" w:cs="Times New Roman"/>
          <w:color w:val="000000"/>
          <w:sz w:val="24"/>
          <w:szCs w:val="24"/>
          <w:lang w:eastAsia="fr-FR"/>
        </w:rPr>
        <w:br/>
      </w:r>
    </w:p>
    <w:p w14:paraId="73FA2879" w14:textId="77777777" w:rsidR="0071027D" w:rsidRDefault="0071027D"/>
    <w:sectPr w:rsidR="0071027D" w:rsidSect="00CD7BD9">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CEBA7" w14:textId="77777777" w:rsidR="005F3C3F" w:rsidRDefault="005F3C3F" w:rsidP="00B15635">
      <w:pPr>
        <w:spacing w:after="0" w:line="240" w:lineRule="auto"/>
      </w:pPr>
      <w:r>
        <w:separator/>
      </w:r>
    </w:p>
  </w:endnote>
  <w:endnote w:type="continuationSeparator" w:id="0">
    <w:p w14:paraId="3C51B3A2" w14:textId="77777777" w:rsidR="005F3C3F" w:rsidRDefault="005F3C3F" w:rsidP="00B15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414582732"/>
      <w:docPartObj>
        <w:docPartGallery w:val="Page Numbers (Bottom of Page)"/>
        <w:docPartUnique/>
      </w:docPartObj>
    </w:sdtPr>
    <w:sdtContent>
      <w:p w14:paraId="02D41073" w14:textId="1E8D349E" w:rsidR="00B15635" w:rsidRDefault="00B15635" w:rsidP="005B065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AEEB64B" w14:textId="77777777" w:rsidR="00B15635" w:rsidRDefault="00B15635" w:rsidP="00B1563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03848514"/>
      <w:docPartObj>
        <w:docPartGallery w:val="Page Numbers (Bottom of Page)"/>
        <w:docPartUnique/>
      </w:docPartObj>
    </w:sdtPr>
    <w:sdtContent>
      <w:p w14:paraId="34AB492C" w14:textId="432ABFA8" w:rsidR="00B15635" w:rsidRDefault="00B15635" w:rsidP="005B065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3FD3A1D" w14:textId="77777777" w:rsidR="00B15635" w:rsidRDefault="00B15635" w:rsidP="00B1563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4F670" w14:textId="77777777" w:rsidR="005F3C3F" w:rsidRDefault="005F3C3F" w:rsidP="00B15635">
      <w:pPr>
        <w:spacing w:after="0" w:line="240" w:lineRule="auto"/>
      </w:pPr>
      <w:r>
        <w:separator/>
      </w:r>
    </w:p>
  </w:footnote>
  <w:footnote w:type="continuationSeparator" w:id="0">
    <w:p w14:paraId="4D0867DF" w14:textId="77777777" w:rsidR="005F3C3F" w:rsidRDefault="005F3C3F" w:rsidP="00B156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635"/>
    <w:rsid w:val="004A7855"/>
    <w:rsid w:val="005F3C3F"/>
    <w:rsid w:val="0071027D"/>
    <w:rsid w:val="00B15635"/>
    <w:rsid w:val="00BC1111"/>
    <w:rsid w:val="00CD7B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BA79556"/>
  <w15:chartTrackingRefBased/>
  <w15:docId w15:val="{B866EA1B-A23F-C843-9C0D-A70D8886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635"/>
    <w:pPr>
      <w:spacing w:after="160" w:line="259" w:lineRule="auto"/>
    </w:pPr>
    <w:rPr>
      <w:sz w:val="22"/>
      <w:szCs w:val="22"/>
    </w:rPr>
  </w:style>
  <w:style w:type="paragraph" w:styleId="Titre3">
    <w:name w:val="heading 3"/>
    <w:basedOn w:val="Normal"/>
    <w:next w:val="Normal"/>
    <w:link w:val="Titre3Car"/>
    <w:uiPriority w:val="9"/>
    <w:unhideWhenUsed/>
    <w:qFormat/>
    <w:rsid w:val="004A7855"/>
    <w:pPr>
      <w:keepNext/>
      <w:keepLines/>
      <w:spacing w:before="200" w:after="0" w:line="240" w:lineRule="auto"/>
      <w:jc w:val="both"/>
      <w:outlineLvl w:val="2"/>
    </w:pPr>
    <w:rPr>
      <w:rFonts w:asciiTheme="majorHAnsi" w:eastAsiaTheme="majorEastAsia" w:hAnsiTheme="majorHAnsi" w:cstheme="majorBidi"/>
      <w:b/>
      <w:bCs/>
      <w:color w:val="4472C4" w:themeColor="accen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A7855"/>
    <w:rPr>
      <w:rFonts w:asciiTheme="majorHAnsi" w:eastAsiaTheme="majorEastAsia" w:hAnsiTheme="majorHAnsi" w:cstheme="majorBidi"/>
      <w:b/>
      <w:bCs/>
      <w:color w:val="4472C4" w:themeColor="accent1"/>
    </w:rPr>
  </w:style>
  <w:style w:type="paragraph" w:customStyle="1" w:styleId="TitreTD">
    <w:name w:val="Titre TD"/>
    <w:basedOn w:val="Citationintense"/>
    <w:next w:val="Normal"/>
    <w:qFormat/>
    <w:rsid w:val="00BC1111"/>
    <w:rPr>
      <w:b/>
      <w:i w:val="0"/>
    </w:rPr>
  </w:style>
  <w:style w:type="paragraph" w:styleId="Citationintense">
    <w:name w:val="Intense Quote"/>
    <w:basedOn w:val="Normal"/>
    <w:next w:val="Normal"/>
    <w:link w:val="CitationintenseCar"/>
    <w:uiPriority w:val="30"/>
    <w:qFormat/>
    <w:rsid w:val="00BC1111"/>
    <w:pPr>
      <w:pBdr>
        <w:top w:val="single" w:sz="4" w:space="10" w:color="4472C4" w:themeColor="accent1"/>
        <w:bottom w:val="single" w:sz="4" w:space="10" w:color="4472C4" w:themeColor="accent1"/>
      </w:pBdr>
      <w:spacing w:before="360" w:after="360" w:line="240" w:lineRule="auto"/>
      <w:ind w:left="864" w:right="864"/>
      <w:jc w:val="center"/>
    </w:pPr>
    <w:rPr>
      <w:rFonts w:ascii="Times New Roman" w:hAnsi="Times New Roman"/>
      <w:i/>
      <w:iCs/>
      <w:color w:val="4472C4" w:themeColor="accent1"/>
      <w:sz w:val="24"/>
      <w:szCs w:val="24"/>
    </w:rPr>
  </w:style>
  <w:style w:type="character" w:customStyle="1" w:styleId="CitationintenseCar">
    <w:name w:val="Citation intense Car"/>
    <w:basedOn w:val="Policepardfaut"/>
    <w:link w:val="Citationintense"/>
    <w:uiPriority w:val="30"/>
    <w:rsid w:val="00BC1111"/>
    <w:rPr>
      <w:i/>
      <w:iCs/>
      <w:color w:val="4472C4" w:themeColor="accent1"/>
    </w:rPr>
  </w:style>
  <w:style w:type="paragraph" w:customStyle="1" w:styleId="docContentchronTITRE">
    <w:name w:val="docContent_chronTITRE"/>
    <w:basedOn w:val="Normal"/>
    <w:rsid w:val="00B15635"/>
    <w:pPr>
      <w:spacing w:after="0" w:line="240" w:lineRule="auto"/>
    </w:pPr>
    <w:rPr>
      <w:rFonts w:ascii="Times New Roman" w:eastAsia="Times New Roman" w:hAnsi="Times New Roman" w:cs="Times New Roman"/>
      <w:b/>
      <w:bCs/>
      <w:color w:val="BB1126"/>
      <w:sz w:val="26"/>
      <w:szCs w:val="26"/>
      <w:lang w:eastAsia="fr-FR"/>
    </w:rPr>
  </w:style>
  <w:style w:type="paragraph" w:styleId="Pieddepage">
    <w:name w:val="footer"/>
    <w:basedOn w:val="Normal"/>
    <w:link w:val="PieddepageCar"/>
    <w:uiPriority w:val="99"/>
    <w:unhideWhenUsed/>
    <w:rsid w:val="00B156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5635"/>
    <w:rPr>
      <w:sz w:val="22"/>
      <w:szCs w:val="22"/>
    </w:rPr>
  </w:style>
  <w:style w:type="character" w:styleId="Numrodepage">
    <w:name w:val="page number"/>
    <w:basedOn w:val="Policepardfaut"/>
    <w:uiPriority w:val="99"/>
    <w:semiHidden/>
    <w:unhideWhenUsed/>
    <w:rsid w:val="00B15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1130</Words>
  <Characters>6220</Characters>
  <Application>Microsoft Office Word</Application>
  <DocSecurity>0</DocSecurity>
  <Lines>51</Lines>
  <Paragraphs>14</Paragraphs>
  <ScaleCrop>false</ScaleCrop>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AOUISS</dc:creator>
  <cp:keywords/>
  <dc:description/>
  <cp:lastModifiedBy>Sara AOUISS</cp:lastModifiedBy>
  <cp:revision>1</cp:revision>
  <dcterms:created xsi:type="dcterms:W3CDTF">2023-02-23T20:39:00Z</dcterms:created>
  <dcterms:modified xsi:type="dcterms:W3CDTF">2023-02-23T20:41:00Z</dcterms:modified>
</cp:coreProperties>
</file>