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C0D0FA" w14:textId="77777777" w:rsidR="005D1CEA" w:rsidRPr="005D1CEA" w:rsidRDefault="005D1CEA" w:rsidP="005D1CEA">
      <w:pPr>
        <w:jc w:val="center"/>
        <w:rPr>
          <w:rFonts w:ascii="Verdana" w:hAnsi="Verdana"/>
          <w:bCs/>
          <w:sz w:val="22"/>
          <w:szCs w:val="22"/>
        </w:rPr>
      </w:pPr>
      <w:r w:rsidRPr="005D1CEA">
        <w:rPr>
          <w:rFonts w:ascii="Verdana" w:hAnsi="Verdana"/>
          <w:bCs/>
          <w:sz w:val="22"/>
          <w:szCs w:val="22"/>
        </w:rPr>
        <w:t>DSCG / 201</w:t>
      </w:r>
      <w:r w:rsidR="005A00FE">
        <w:rPr>
          <w:rFonts w:ascii="Verdana" w:hAnsi="Verdana"/>
          <w:bCs/>
          <w:sz w:val="22"/>
          <w:szCs w:val="22"/>
        </w:rPr>
        <w:t>6</w:t>
      </w:r>
      <w:r w:rsidR="009F5378">
        <w:rPr>
          <w:rFonts w:ascii="Verdana" w:hAnsi="Verdana"/>
          <w:bCs/>
          <w:sz w:val="22"/>
          <w:szCs w:val="22"/>
        </w:rPr>
        <w:t>-201</w:t>
      </w:r>
      <w:r w:rsidR="005A00FE">
        <w:rPr>
          <w:rFonts w:ascii="Verdana" w:hAnsi="Verdana"/>
          <w:bCs/>
          <w:sz w:val="22"/>
          <w:szCs w:val="22"/>
        </w:rPr>
        <w:t>7</w:t>
      </w:r>
      <w:r w:rsidRPr="005D1CEA">
        <w:rPr>
          <w:rFonts w:ascii="Verdana" w:hAnsi="Verdana"/>
          <w:bCs/>
          <w:sz w:val="22"/>
          <w:szCs w:val="22"/>
        </w:rPr>
        <w:t xml:space="preserve"> / Eric Rougier</w:t>
      </w:r>
    </w:p>
    <w:p w14:paraId="661DD3EB" w14:textId="77777777" w:rsidR="005D1CEA" w:rsidRDefault="005D1CEA" w:rsidP="005D1CEA">
      <w:pPr>
        <w:jc w:val="center"/>
        <w:rPr>
          <w:rFonts w:ascii="Verdana" w:hAnsi="Verdana"/>
          <w:b/>
          <w:bCs/>
          <w:sz w:val="22"/>
          <w:szCs w:val="22"/>
        </w:rPr>
      </w:pPr>
      <w:r>
        <w:rPr>
          <w:rFonts w:ascii="Verdana" w:hAnsi="Verdana"/>
          <w:b/>
          <w:bCs/>
          <w:sz w:val="22"/>
          <w:szCs w:val="22"/>
        </w:rPr>
        <w:t>______________________________________________________</w:t>
      </w:r>
    </w:p>
    <w:p w14:paraId="2157DB0E" w14:textId="77777777" w:rsidR="005D1CEA" w:rsidRDefault="005D1CEA" w:rsidP="008B0E46">
      <w:pPr>
        <w:jc w:val="center"/>
        <w:rPr>
          <w:rFonts w:ascii="Verdana" w:hAnsi="Verdana"/>
          <w:b/>
          <w:bCs/>
          <w:szCs w:val="22"/>
        </w:rPr>
      </w:pPr>
    </w:p>
    <w:p w14:paraId="427B6527" w14:textId="77777777" w:rsidR="00C465E0" w:rsidRPr="003C32A8" w:rsidRDefault="00C465E0" w:rsidP="008B0E46">
      <w:pPr>
        <w:jc w:val="center"/>
        <w:rPr>
          <w:rFonts w:ascii="Verdana" w:hAnsi="Verdana"/>
          <w:b/>
          <w:bCs/>
          <w:szCs w:val="22"/>
        </w:rPr>
      </w:pPr>
      <w:r w:rsidRPr="003C32A8">
        <w:rPr>
          <w:rFonts w:ascii="Verdana" w:hAnsi="Verdana"/>
          <w:b/>
          <w:bCs/>
          <w:szCs w:val="22"/>
        </w:rPr>
        <w:t>Chapitre 2</w:t>
      </w:r>
      <w:r w:rsidRPr="003C32A8">
        <w:rPr>
          <w:rFonts w:ascii="Verdana" w:hAnsi="Verdana"/>
          <w:b/>
          <w:bCs/>
          <w:caps/>
          <w:szCs w:val="22"/>
        </w:rPr>
        <w:t xml:space="preserve"> : </w:t>
      </w:r>
      <w:r w:rsidRPr="003C32A8">
        <w:rPr>
          <w:rFonts w:ascii="Verdana" w:hAnsi="Verdana"/>
          <w:b/>
          <w:bCs/>
          <w:szCs w:val="22"/>
        </w:rPr>
        <w:t>Croissance, progrès technique et emploi</w:t>
      </w:r>
    </w:p>
    <w:p w14:paraId="12E4646F" w14:textId="77777777" w:rsidR="005D1CEA" w:rsidRPr="008F306A" w:rsidRDefault="005D1CEA" w:rsidP="008B0E46">
      <w:pPr>
        <w:pBdr>
          <w:bottom w:val="single" w:sz="6" w:space="1" w:color="auto"/>
        </w:pBdr>
        <w:jc w:val="center"/>
        <w:rPr>
          <w:rFonts w:ascii="Verdana" w:hAnsi="Verdana"/>
          <w:b/>
          <w:bCs/>
          <w:sz w:val="28"/>
          <w:szCs w:val="22"/>
        </w:rPr>
      </w:pPr>
    </w:p>
    <w:p w14:paraId="5EEDB2F1" w14:textId="77777777" w:rsidR="008F306A" w:rsidRPr="008F306A" w:rsidRDefault="008F306A" w:rsidP="008B0E46">
      <w:pPr>
        <w:rPr>
          <w:rFonts w:ascii="Verdana" w:hAnsi="Verdana"/>
          <w:b/>
          <w:bCs/>
          <w:sz w:val="28"/>
          <w:szCs w:val="22"/>
        </w:rPr>
      </w:pPr>
    </w:p>
    <w:p w14:paraId="1E4E8FBF" w14:textId="18D1931F" w:rsidR="00401944" w:rsidRDefault="008F306A" w:rsidP="00401944">
      <w:pPr>
        <w:rPr>
          <w:rFonts w:ascii="Verdana" w:hAnsi="Verdana"/>
          <w:b/>
          <w:bCs/>
          <w:sz w:val="22"/>
          <w:szCs w:val="22"/>
        </w:rPr>
      </w:pPr>
      <w:r>
        <w:rPr>
          <w:rFonts w:ascii="Verdana" w:hAnsi="Verdana"/>
          <w:b/>
          <w:bCs/>
          <w:szCs w:val="22"/>
        </w:rPr>
        <w:t xml:space="preserve">Section 1 : Croissance et </w:t>
      </w:r>
      <w:r w:rsidR="00401944">
        <w:rPr>
          <w:rFonts w:ascii="Verdana" w:hAnsi="Verdana"/>
          <w:b/>
          <w:bCs/>
          <w:szCs w:val="22"/>
        </w:rPr>
        <w:t>inégalités de développement</w:t>
      </w:r>
    </w:p>
    <w:p w14:paraId="3B05D2B2" w14:textId="6970C69C" w:rsidR="00401944" w:rsidRDefault="00401944" w:rsidP="00D57A06">
      <w:pPr>
        <w:numPr>
          <w:ilvl w:val="0"/>
          <w:numId w:val="27"/>
        </w:numPr>
        <w:spacing w:before="360" w:after="240"/>
        <w:ind w:left="426"/>
        <w:jc w:val="both"/>
        <w:rPr>
          <w:rFonts w:ascii="Verdana" w:hAnsi="Verdana"/>
          <w:b/>
          <w:bCs/>
          <w:sz w:val="22"/>
          <w:szCs w:val="22"/>
        </w:rPr>
      </w:pPr>
      <w:r>
        <w:rPr>
          <w:rFonts w:ascii="Verdana" w:hAnsi="Verdana"/>
          <w:b/>
          <w:bCs/>
          <w:sz w:val="22"/>
          <w:szCs w:val="22"/>
        </w:rPr>
        <w:t>Croissance, divergence et inégalités mondiales</w:t>
      </w:r>
    </w:p>
    <w:p w14:paraId="234D34A9" w14:textId="77777777" w:rsidR="00353B4A" w:rsidRDefault="00353B4A" w:rsidP="00353B4A">
      <w:pPr>
        <w:jc w:val="both"/>
        <w:rPr>
          <w:rFonts w:ascii="Arial" w:hAnsi="Arial" w:cs="Arial"/>
          <w:szCs w:val="22"/>
        </w:rPr>
      </w:pPr>
      <w:r w:rsidRPr="00353B4A">
        <w:rPr>
          <w:rFonts w:ascii="Arial" w:hAnsi="Arial" w:cs="Arial"/>
          <w:szCs w:val="22"/>
        </w:rPr>
        <w:t xml:space="preserve">La croissance mesure la variation relative du PIB d’un pays, la richesse nette créée, d’une année à l’autre. Cette croissance permet au niveau de vie moyen d’augmenter si elle et plus rapide que celle de la population : le PIB par tête augmente donc. La croissance régulière du produit national et donc du revenu national permet de dépasser les limites physiques du monde et de diminuer la pauvreté. Toutefois, l’élévation régulière du niveau de vie que nous connaissons depuis 200 ans est une exception historique. Pendant des siècles, la croissance a été nulle et les économies </w:t>
      </w:r>
      <w:r w:rsidRPr="00353B4A">
        <w:rPr>
          <w:rFonts w:ascii="Arial" w:hAnsi="Arial" w:cs="Arial"/>
          <w:b/>
          <w:szCs w:val="22"/>
        </w:rPr>
        <w:t>stationnaires</w:t>
      </w:r>
      <w:r w:rsidRPr="00353B4A">
        <w:rPr>
          <w:rFonts w:ascii="Arial" w:hAnsi="Arial" w:cs="Arial"/>
          <w:szCs w:val="22"/>
        </w:rPr>
        <w:t>. Le Tableau 1 donne les taux de croissance du PIB, de la population et du PIB par tête annuels moyens pendant les principales périodes historiques précédant l’époque moderne. Il faut attendre la révolution industrielle et le début du 20</w:t>
      </w:r>
      <w:r w:rsidRPr="00353B4A">
        <w:rPr>
          <w:rFonts w:ascii="Arial" w:hAnsi="Arial" w:cs="Arial"/>
          <w:szCs w:val="22"/>
          <w:vertAlign w:val="superscript"/>
        </w:rPr>
        <w:t>ème</w:t>
      </w:r>
      <w:r w:rsidRPr="00353B4A">
        <w:rPr>
          <w:rFonts w:ascii="Arial" w:hAnsi="Arial" w:cs="Arial"/>
          <w:szCs w:val="22"/>
        </w:rPr>
        <w:t xml:space="preserve"> siècle pour que la croissance de la production soit suffisamment rapide pour dépasser la croissance démographique (Figure 1) et permettre une augmentation durable et significative du niveau de vie (croissance PIB/tête = croissance PIB – croissance population).</w:t>
      </w:r>
    </w:p>
    <w:p w14:paraId="57D0E4F6" w14:textId="63E9F9A1" w:rsidR="00401944" w:rsidRDefault="00401944" w:rsidP="00353B4A">
      <w:pPr>
        <w:ind w:firstLine="708"/>
        <w:jc w:val="both"/>
        <w:rPr>
          <w:rFonts w:ascii="Verdana" w:hAnsi="Verdana"/>
          <w:bCs/>
          <w:sz w:val="22"/>
          <w:szCs w:val="22"/>
        </w:rPr>
      </w:pPr>
      <w:r w:rsidRPr="00401944">
        <w:rPr>
          <w:rFonts w:ascii="Verdana" w:hAnsi="Verdana"/>
          <w:bCs/>
          <w:sz w:val="22"/>
          <w:szCs w:val="22"/>
        </w:rPr>
        <w:t>La croissance économique</w:t>
      </w:r>
      <w:r>
        <w:rPr>
          <w:rFonts w:ascii="Verdana" w:hAnsi="Verdana"/>
          <w:bCs/>
          <w:sz w:val="22"/>
          <w:szCs w:val="22"/>
        </w:rPr>
        <w:t>, c’est à dire la progression régulière de l’activité économique (PIB) et des niveaux de vie (PIB/tête),</w:t>
      </w:r>
      <w:r w:rsidRPr="00401944">
        <w:rPr>
          <w:rFonts w:ascii="Verdana" w:hAnsi="Verdana"/>
          <w:bCs/>
          <w:sz w:val="22"/>
          <w:szCs w:val="22"/>
        </w:rPr>
        <w:t xml:space="preserve"> est un phénomène récent à l’échelle de l’histoire longue</w:t>
      </w:r>
      <w:r>
        <w:rPr>
          <w:rFonts w:ascii="Verdana" w:hAnsi="Verdana"/>
          <w:bCs/>
          <w:sz w:val="22"/>
          <w:szCs w:val="22"/>
        </w:rPr>
        <w:t>. Le tableau 1 et a figure 1 montrent que ce n’est qu’à partir de 1500 que le PIB augmente durablement mais lentement, et qu’il faut attendre le 18</w:t>
      </w:r>
      <w:r w:rsidRPr="00401944">
        <w:rPr>
          <w:rFonts w:ascii="Verdana" w:hAnsi="Verdana"/>
          <w:bCs/>
          <w:sz w:val="22"/>
          <w:szCs w:val="22"/>
          <w:vertAlign w:val="superscript"/>
        </w:rPr>
        <w:t>ème</w:t>
      </w:r>
      <w:r>
        <w:rPr>
          <w:rFonts w:ascii="Verdana" w:hAnsi="Verdana"/>
          <w:bCs/>
          <w:sz w:val="22"/>
          <w:szCs w:val="22"/>
        </w:rPr>
        <w:t xml:space="preserve"> siècle pour que le niveau de vie commence aussi à augmenter, l’activité économique progressant plus rapidement que la population.</w:t>
      </w:r>
    </w:p>
    <w:p w14:paraId="221A8535" w14:textId="77777777" w:rsidR="00353B4A" w:rsidRDefault="00353B4A" w:rsidP="00353B4A">
      <w:pPr>
        <w:ind w:firstLine="708"/>
        <w:jc w:val="both"/>
        <w:rPr>
          <w:rFonts w:ascii="Verdana" w:hAnsi="Verdana"/>
          <w:bCs/>
          <w:sz w:val="22"/>
          <w:szCs w:val="22"/>
        </w:rPr>
      </w:pPr>
    </w:p>
    <w:p w14:paraId="6E75156C" w14:textId="77777777" w:rsidR="00353B4A" w:rsidRDefault="00353B4A" w:rsidP="00353B4A">
      <w:pPr>
        <w:ind w:firstLine="708"/>
        <w:jc w:val="both"/>
        <w:rPr>
          <w:rFonts w:ascii="Verdana" w:hAnsi="Verdana"/>
          <w:bCs/>
          <w:sz w:val="22"/>
          <w:szCs w:val="22"/>
        </w:rPr>
      </w:pPr>
    </w:p>
    <w:p w14:paraId="1CC3C1E7" w14:textId="77777777" w:rsidR="00353B4A" w:rsidRDefault="00353B4A" w:rsidP="00353B4A">
      <w:pPr>
        <w:ind w:firstLine="708"/>
        <w:jc w:val="both"/>
        <w:rPr>
          <w:rFonts w:ascii="Verdana" w:hAnsi="Verdana"/>
          <w:bCs/>
          <w:sz w:val="22"/>
          <w:szCs w:val="22"/>
        </w:rPr>
      </w:pPr>
    </w:p>
    <w:p w14:paraId="1CF28387" w14:textId="77777777" w:rsidR="00353B4A" w:rsidRPr="00353B4A" w:rsidRDefault="00353B4A" w:rsidP="00353B4A">
      <w:pPr>
        <w:ind w:firstLine="708"/>
        <w:jc w:val="both"/>
        <w:rPr>
          <w:rFonts w:ascii="Arial" w:hAnsi="Arial" w:cs="Arial"/>
          <w:szCs w:val="22"/>
        </w:rPr>
      </w:pPr>
    </w:p>
    <w:p w14:paraId="03EC85F7" w14:textId="77777777" w:rsidR="00401944" w:rsidRPr="00BD31F8" w:rsidRDefault="00401944" w:rsidP="00401944">
      <w:pPr>
        <w:spacing w:before="120" w:after="120"/>
        <w:rPr>
          <w:rFonts w:ascii="Arial" w:hAnsi="Arial" w:cs="Arial"/>
          <w:b/>
          <w:sz w:val="20"/>
          <w:szCs w:val="20"/>
        </w:rPr>
      </w:pPr>
      <w:r>
        <w:rPr>
          <w:rFonts w:ascii="Arial" w:hAnsi="Arial" w:cs="Arial"/>
          <w:b/>
          <w:sz w:val="20"/>
          <w:szCs w:val="20"/>
        </w:rPr>
        <w:t xml:space="preserve">Tableau 1 : </w:t>
      </w:r>
      <w:r w:rsidRPr="00BD31F8">
        <w:rPr>
          <w:rFonts w:ascii="Arial" w:hAnsi="Arial" w:cs="Arial"/>
          <w:b/>
          <w:sz w:val="20"/>
          <w:szCs w:val="20"/>
        </w:rPr>
        <w:t>Croissance dans les pays européens (Maddison, 1981)</w:t>
      </w:r>
    </w:p>
    <w:tbl>
      <w:tblPr>
        <w:tblW w:w="0" w:type="auto"/>
        <w:tblInd w:w="3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417"/>
        <w:gridCol w:w="1276"/>
        <w:gridCol w:w="1276"/>
      </w:tblGrid>
      <w:tr w:rsidR="00401944" w:rsidRPr="00BD31F8" w14:paraId="7CA3759E" w14:textId="77777777" w:rsidTr="008E1DA3">
        <w:tc>
          <w:tcPr>
            <w:tcW w:w="4361" w:type="dxa"/>
          </w:tcPr>
          <w:p w14:paraId="23DC0AFB" w14:textId="77777777" w:rsidR="00401944" w:rsidRPr="00BD31F8" w:rsidRDefault="00401944" w:rsidP="008E1DA3">
            <w:pPr>
              <w:spacing w:before="120" w:after="120"/>
              <w:jc w:val="center"/>
              <w:rPr>
                <w:rFonts w:ascii="Arial" w:hAnsi="Arial" w:cs="Arial"/>
                <w:b/>
                <w:sz w:val="20"/>
                <w:szCs w:val="20"/>
              </w:rPr>
            </w:pPr>
            <w:r w:rsidRPr="00BD31F8">
              <w:rPr>
                <w:rFonts w:ascii="Arial" w:hAnsi="Arial" w:cs="Arial"/>
                <w:b/>
                <w:sz w:val="20"/>
                <w:szCs w:val="20"/>
              </w:rPr>
              <w:t>Taux de croissance annuel moyen</w:t>
            </w:r>
          </w:p>
        </w:tc>
        <w:tc>
          <w:tcPr>
            <w:tcW w:w="1417" w:type="dxa"/>
          </w:tcPr>
          <w:p w14:paraId="4B9E0624" w14:textId="77777777" w:rsidR="00401944" w:rsidRPr="00BD31F8" w:rsidRDefault="00401944" w:rsidP="008E1DA3">
            <w:pPr>
              <w:spacing w:before="120" w:after="120"/>
              <w:jc w:val="center"/>
              <w:rPr>
                <w:rFonts w:ascii="Arial" w:hAnsi="Arial" w:cs="Arial"/>
                <w:b/>
                <w:sz w:val="20"/>
                <w:szCs w:val="20"/>
              </w:rPr>
            </w:pPr>
            <w:r w:rsidRPr="00BD31F8">
              <w:rPr>
                <w:rFonts w:ascii="Arial" w:hAnsi="Arial" w:cs="Arial"/>
                <w:b/>
                <w:sz w:val="20"/>
                <w:szCs w:val="20"/>
              </w:rPr>
              <w:t>PIB</w:t>
            </w:r>
          </w:p>
        </w:tc>
        <w:tc>
          <w:tcPr>
            <w:tcW w:w="1276" w:type="dxa"/>
          </w:tcPr>
          <w:p w14:paraId="085E6D72" w14:textId="77777777" w:rsidR="00401944" w:rsidRPr="00BD31F8" w:rsidRDefault="00401944" w:rsidP="008E1DA3">
            <w:pPr>
              <w:spacing w:before="120" w:after="120"/>
              <w:jc w:val="center"/>
              <w:rPr>
                <w:rFonts w:ascii="Arial" w:hAnsi="Arial" w:cs="Arial"/>
                <w:b/>
                <w:sz w:val="20"/>
                <w:szCs w:val="20"/>
              </w:rPr>
            </w:pPr>
            <w:r w:rsidRPr="00BD31F8">
              <w:rPr>
                <w:rFonts w:ascii="Arial" w:hAnsi="Arial" w:cs="Arial"/>
                <w:b/>
                <w:sz w:val="20"/>
                <w:szCs w:val="20"/>
              </w:rPr>
              <w:t>Population</w:t>
            </w:r>
          </w:p>
        </w:tc>
        <w:tc>
          <w:tcPr>
            <w:tcW w:w="1276" w:type="dxa"/>
          </w:tcPr>
          <w:p w14:paraId="29996424" w14:textId="77777777" w:rsidR="00401944" w:rsidRPr="00BD31F8" w:rsidRDefault="00401944" w:rsidP="008E1DA3">
            <w:pPr>
              <w:spacing w:before="120" w:after="120"/>
              <w:jc w:val="center"/>
              <w:rPr>
                <w:rFonts w:ascii="Arial" w:hAnsi="Arial" w:cs="Arial"/>
                <w:b/>
                <w:sz w:val="20"/>
                <w:szCs w:val="20"/>
              </w:rPr>
            </w:pPr>
            <w:r w:rsidRPr="00BD31F8">
              <w:rPr>
                <w:rFonts w:ascii="Arial" w:hAnsi="Arial" w:cs="Arial"/>
                <w:b/>
                <w:sz w:val="20"/>
                <w:szCs w:val="20"/>
              </w:rPr>
              <w:t>PIB/tête</w:t>
            </w:r>
          </w:p>
        </w:tc>
      </w:tr>
      <w:tr w:rsidR="00401944" w:rsidRPr="00BD31F8" w14:paraId="5685AC59" w14:textId="77777777" w:rsidTr="008E1DA3">
        <w:tc>
          <w:tcPr>
            <w:tcW w:w="4361" w:type="dxa"/>
          </w:tcPr>
          <w:p w14:paraId="25E4259C"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Période agraire : 500-1500</w:t>
            </w:r>
          </w:p>
        </w:tc>
        <w:tc>
          <w:tcPr>
            <w:tcW w:w="1417" w:type="dxa"/>
          </w:tcPr>
          <w:p w14:paraId="3C83AB36"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w:t>
            </w:r>
          </w:p>
        </w:tc>
        <w:tc>
          <w:tcPr>
            <w:tcW w:w="1276" w:type="dxa"/>
          </w:tcPr>
          <w:p w14:paraId="224C12C8"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w:t>
            </w:r>
          </w:p>
        </w:tc>
        <w:tc>
          <w:tcPr>
            <w:tcW w:w="1276" w:type="dxa"/>
          </w:tcPr>
          <w:p w14:paraId="5B79462A"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w:t>
            </w:r>
          </w:p>
        </w:tc>
      </w:tr>
      <w:tr w:rsidR="00401944" w:rsidRPr="00BD31F8" w14:paraId="31A7929F" w14:textId="77777777" w:rsidTr="008E1DA3">
        <w:tc>
          <w:tcPr>
            <w:tcW w:w="4361" w:type="dxa"/>
          </w:tcPr>
          <w:p w14:paraId="6131AC2B"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Période agraire progressive : 1500-1700</w:t>
            </w:r>
          </w:p>
        </w:tc>
        <w:tc>
          <w:tcPr>
            <w:tcW w:w="1417" w:type="dxa"/>
          </w:tcPr>
          <w:p w14:paraId="49A6E5A8"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0,3</w:t>
            </w:r>
          </w:p>
        </w:tc>
        <w:tc>
          <w:tcPr>
            <w:tcW w:w="1276" w:type="dxa"/>
          </w:tcPr>
          <w:p w14:paraId="22C5376C"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0,2</w:t>
            </w:r>
          </w:p>
        </w:tc>
        <w:tc>
          <w:tcPr>
            <w:tcW w:w="1276" w:type="dxa"/>
          </w:tcPr>
          <w:p w14:paraId="02EBF877"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0,1</w:t>
            </w:r>
          </w:p>
        </w:tc>
      </w:tr>
      <w:tr w:rsidR="00401944" w:rsidRPr="00BD31F8" w14:paraId="6901B468" w14:textId="77777777" w:rsidTr="008E1DA3">
        <w:tc>
          <w:tcPr>
            <w:tcW w:w="4361" w:type="dxa"/>
          </w:tcPr>
          <w:p w14:paraId="04B0A9BF"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Capitalisme commercial : 1700-1820</w:t>
            </w:r>
          </w:p>
        </w:tc>
        <w:tc>
          <w:tcPr>
            <w:tcW w:w="1417" w:type="dxa"/>
          </w:tcPr>
          <w:p w14:paraId="086CAF8D"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0,6</w:t>
            </w:r>
          </w:p>
        </w:tc>
        <w:tc>
          <w:tcPr>
            <w:tcW w:w="1276" w:type="dxa"/>
          </w:tcPr>
          <w:p w14:paraId="4C975950"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0,4</w:t>
            </w:r>
          </w:p>
        </w:tc>
        <w:tc>
          <w:tcPr>
            <w:tcW w:w="1276" w:type="dxa"/>
          </w:tcPr>
          <w:p w14:paraId="654A2887"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0,2</w:t>
            </w:r>
          </w:p>
        </w:tc>
      </w:tr>
      <w:tr w:rsidR="00401944" w:rsidRPr="00BD31F8" w14:paraId="15D37701" w14:textId="77777777" w:rsidTr="008E1DA3">
        <w:tc>
          <w:tcPr>
            <w:tcW w:w="4361" w:type="dxa"/>
          </w:tcPr>
          <w:p w14:paraId="0172F32B" w14:textId="77777777" w:rsidR="00401944" w:rsidRPr="00BD31F8" w:rsidRDefault="00401944" w:rsidP="008E1DA3">
            <w:pPr>
              <w:spacing w:before="120" w:after="120"/>
              <w:jc w:val="center"/>
              <w:rPr>
                <w:rFonts w:ascii="Arial" w:hAnsi="Arial" w:cs="Arial"/>
                <w:sz w:val="20"/>
                <w:szCs w:val="20"/>
              </w:rPr>
            </w:pPr>
            <w:r>
              <w:rPr>
                <w:rFonts w:ascii="Arial" w:hAnsi="Arial" w:cs="Arial"/>
                <w:sz w:val="20"/>
                <w:szCs w:val="20"/>
              </w:rPr>
              <w:t>Capitalisme indus</w:t>
            </w:r>
            <w:r w:rsidRPr="00BD31F8">
              <w:rPr>
                <w:rFonts w:ascii="Arial" w:hAnsi="Arial" w:cs="Arial"/>
                <w:sz w:val="20"/>
                <w:szCs w:val="20"/>
              </w:rPr>
              <w:t>triel : 1820-1980</w:t>
            </w:r>
          </w:p>
        </w:tc>
        <w:tc>
          <w:tcPr>
            <w:tcW w:w="1417" w:type="dxa"/>
          </w:tcPr>
          <w:p w14:paraId="31E775FD"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2,5</w:t>
            </w:r>
          </w:p>
        </w:tc>
        <w:tc>
          <w:tcPr>
            <w:tcW w:w="1276" w:type="dxa"/>
          </w:tcPr>
          <w:p w14:paraId="17A63BB0"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0,9</w:t>
            </w:r>
          </w:p>
        </w:tc>
        <w:tc>
          <w:tcPr>
            <w:tcW w:w="1276" w:type="dxa"/>
          </w:tcPr>
          <w:p w14:paraId="5F4C8692" w14:textId="77777777" w:rsidR="00401944" w:rsidRPr="00BD31F8" w:rsidRDefault="00401944" w:rsidP="008E1DA3">
            <w:pPr>
              <w:spacing w:before="120" w:after="120"/>
              <w:jc w:val="center"/>
              <w:rPr>
                <w:rFonts w:ascii="Arial" w:hAnsi="Arial" w:cs="Arial"/>
                <w:sz w:val="20"/>
                <w:szCs w:val="20"/>
              </w:rPr>
            </w:pPr>
            <w:r w:rsidRPr="00BD31F8">
              <w:rPr>
                <w:rFonts w:ascii="Arial" w:hAnsi="Arial" w:cs="Arial"/>
                <w:sz w:val="20"/>
                <w:szCs w:val="20"/>
              </w:rPr>
              <w:t>1,6</w:t>
            </w:r>
          </w:p>
        </w:tc>
      </w:tr>
    </w:tbl>
    <w:p w14:paraId="6C8928FE" w14:textId="77777777" w:rsidR="00401944" w:rsidRDefault="00401944" w:rsidP="00401944">
      <w:pPr>
        <w:jc w:val="both"/>
        <w:rPr>
          <w:rFonts w:ascii="Arial" w:hAnsi="Arial" w:cs="Arial"/>
          <w:sz w:val="22"/>
          <w:szCs w:val="22"/>
        </w:rPr>
      </w:pPr>
    </w:p>
    <w:p w14:paraId="64F68AFD" w14:textId="77777777" w:rsidR="00401944" w:rsidRDefault="00401944" w:rsidP="00401944">
      <w:pPr>
        <w:jc w:val="both"/>
        <w:rPr>
          <w:rFonts w:ascii="Arial" w:hAnsi="Arial" w:cs="Arial"/>
          <w:sz w:val="22"/>
          <w:szCs w:val="22"/>
        </w:rPr>
      </w:pPr>
    </w:p>
    <w:p w14:paraId="1EAC85E5" w14:textId="77777777" w:rsidR="00353B4A" w:rsidRDefault="00353B4A" w:rsidP="00401944">
      <w:pPr>
        <w:jc w:val="both"/>
        <w:rPr>
          <w:rFonts w:ascii="Arial" w:hAnsi="Arial" w:cs="Arial"/>
          <w:b/>
          <w:sz w:val="20"/>
          <w:szCs w:val="22"/>
        </w:rPr>
      </w:pPr>
    </w:p>
    <w:p w14:paraId="5B997057" w14:textId="77777777" w:rsidR="00353B4A" w:rsidRDefault="00353B4A" w:rsidP="00401944">
      <w:pPr>
        <w:jc w:val="both"/>
        <w:rPr>
          <w:rFonts w:ascii="Arial" w:hAnsi="Arial" w:cs="Arial"/>
          <w:b/>
          <w:sz w:val="20"/>
          <w:szCs w:val="22"/>
        </w:rPr>
      </w:pPr>
    </w:p>
    <w:p w14:paraId="2877A4C1" w14:textId="77777777" w:rsidR="00353B4A" w:rsidRDefault="00353B4A" w:rsidP="00401944">
      <w:pPr>
        <w:jc w:val="both"/>
        <w:rPr>
          <w:rFonts w:ascii="Arial" w:hAnsi="Arial" w:cs="Arial"/>
          <w:b/>
          <w:sz w:val="20"/>
          <w:szCs w:val="22"/>
        </w:rPr>
      </w:pPr>
    </w:p>
    <w:p w14:paraId="10F85037" w14:textId="77777777" w:rsidR="00353B4A" w:rsidRDefault="00353B4A" w:rsidP="00401944">
      <w:pPr>
        <w:jc w:val="both"/>
        <w:rPr>
          <w:rFonts w:ascii="Arial" w:hAnsi="Arial" w:cs="Arial"/>
          <w:b/>
          <w:sz w:val="20"/>
          <w:szCs w:val="22"/>
        </w:rPr>
      </w:pPr>
    </w:p>
    <w:p w14:paraId="613EE958" w14:textId="77777777" w:rsidR="00401944" w:rsidRPr="00B077CA" w:rsidRDefault="00401944" w:rsidP="00401944">
      <w:pPr>
        <w:jc w:val="both"/>
        <w:rPr>
          <w:rFonts w:ascii="Arial" w:hAnsi="Arial" w:cs="Arial"/>
          <w:b/>
          <w:sz w:val="20"/>
          <w:szCs w:val="22"/>
        </w:rPr>
      </w:pPr>
      <w:bookmarkStart w:id="0" w:name="_GoBack"/>
      <w:bookmarkEnd w:id="0"/>
      <w:r w:rsidRPr="00B077CA">
        <w:rPr>
          <w:rFonts w:ascii="Arial" w:hAnsi="Arial" w:cs="Arial"/>
          <w:b/>
          <w:sz w:val="20"/>
          <w:szCs w:val="22"/>
        </w:rPr>
        <w:lastRenderedPageBreak/>
        <w:t>Figure 1 : Croissance de la population et du PIB par tête (1000-2000)</w:t>
      </w:r>
    </w:p>
    <w:p w14:paraId="7B366442" w14:textId="36477F69" w:rsidR="00401944" w:rsidRPr="00401944" w:rsidRDefault="00401944" w:rsidP="00401944">
      <w:pPr>
        <w:spacing w:before="360" w:after="240"/>
        <w:jc w:val="both"/>
        <w:rPr>
          <w:rFonts w:ascii="Verdana" w:hAnsi="Verdana"/>
          <w:bCs/>
          <w:sz w:val="22"/>
          <w:szCs w:val="22"/>
        </w:rPr>
      </w:pPr>
      <w:r w:rsidRPr="009609B7">
        <w:rPr>
          <w:rFonts w:ascii="Arial" w:hAnsi="Arial" w:cs="Arial"/>
          <w:noProof/>
          <w:sz w:val="22"/>
          <w:szCs w:val="22"/>
        </w:rPr>
        <w:drawing>
          <wp:inline distT="0" distB="0" distL="0" distR="0" wp14:anchorId="70B12B24" wp14:editId="10FC3344">
            <wp:extent cx="4433570" cy="2743200"/>
            <wp:effectExtent l="0" t="0" r="11430" b="0"/>
            <wp:docPr id="78" name="Image 78" descr="UN_MI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_MIL~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433570" cy="2743200"/>
                    </a:xfrm>
                    <a:prstGeom prst="rect">
                      <a:avLst/>
                    </a:prstGeom>
                    <a:noFill/>
                    <a:ln>
                      <a:noFill/>
                    </a:ln>
                  </pic:spPr>
                </pic:pic>
              </a:graphicData>
            </a:graphic>
          </wp:inline>
        </w:drawing>
      </w:r>
    </w:p>
    <w:p w14:paraId="0812F3E8" w14:textId="77777777" w:rsidR="00353B4A" w:rsidRDefault="00401944" w:rsidP="00401944">
      <w:pPr>
        <w:spacing w:before="360" w:after="240"/>
        <w:jc w:val="both"/>
        <w:rPr>
          <w:rFonts w:ascii="Verdana" w:hAnsi="Verdana"/>
          <w:bCs/>
          <w:sz w:val="22"/>
          <w:szCs w:val="22"/>
        </w:rPr>
      </w:pPr>
      <w:r w:rsidRPr="00401944">
        <w:rPr>
          <w:rFonts w:ascii="Verdana" w:hAnsi="Verdana"/>
          <w:bCs/>
          <w:sz w:val="22"/>
          <w:szCs w:val="22"/>
        </w:rPr>
        <w:t>Toutefois, toutes les régions du monde n’ont pas suivi ces trajectoires qui décrivent les mondes ou régions les plus développées</w:t>
      </w:r>
      <w:r>
        <w:rPr>
          <w:rFonts w:ascii="Verdana" w:hAnsi="Verdana"/>
          <w:bCs/>
          <w:sz w:val="22"/>
          <w:szCs w:val="22"/>
        </w:rPr>
        <w:t>, en Europe et en Asie</w:t>
      </w:r>
      <w:r w:rsidRPr="00401944">
        <w:rPr>
          <w:rFonts w:ascii="Verdana" w:hAnsi="Verdana"/>
          <w:bCs/>
          <w:sz w:val="22"/>
          <w:szCs w:val="22"/>
        </w:rPr>
        <w:t xml:space="preserve">. </w:t>
      </w:r>
      <w:r>
        <w:rPr>
          <w:rFonts w:ascii="Verdana" w:hAnsi="Verdana"/>
          <w:bCs/>
          <w:sz w:val="22"/>
          <w:szCs w:val="22"/>
        </w:rPr>
        <w:t>La révolution industrielle au 19</w:t>
      </w:r>
      <w:r w:rsidRPr="00401944">
        <w:rPr>
          <w:rFonts w:ascii="Verdana" w:hAnsi="Verdana"/>
          <w:bCs/>
          <w:sz w:val="22"/>
          <w:szCs w:val="22"/>
          <w:vertAlign w:val="superscript"/>
        </w:rPr>
        <w:t>ème</w:t>
      </w:r>
      <w:r>
        <w:rPr>
          <w:rFonts w:ascii="Verdana" w:hAnsi="Verdana"/>
          <w:bCs/>
          <w:sz w:val="22"/>
          <w:szCs w:val="22"/>
        </w:rPr>
        <w:t xml:space="preserve"> siècle va générer une divergence croissante des niveaux de vie entre les pays qui s’industrialisent et les autres. Comme le montrent les figures 2 et 3, certaines régions ou pays convergeront vers les pays et régions industrialisées au cours du 19</w:t>
      </w:r>
      <w:r w:rsidRPr="00401944">
        <w:rPr>
          <w:rFonts w:ascii="Verdana" w:hAnsi="Verdana"/>
          <w:bCs/>
          <w:sz w:val="22"/>
          <w:szCs w:val="22"/>
          <w:vertAlign w:val="superscript"/>
        </w:rPr>
        <w:t>ème</w:t>
      </w:r>
      <w:r>
        <w:rPr>
          <w:rFonts w:ascii="Verdana" w:hAnsi="Verdana"/>
          <w:bCs/>
          <w:sz w:val="22"/>
          <w:szCs w:val="22"/>
        </w:rPr>
        <w:t xml:space="preserve"> et du 20</w:t>
      </w:r>
      <w:r w:rsidRPr="00401944">
        <w:rPr>
          <w:rFonts w:ascii="Verdana" w:hAnsi="Verdana"/>
          <w:bCs/>
          <w:sz w:val="22"/>
          <w:szCs w:val="22"/>
          <w:vertAlign w:val="superscript"/>
        </w:rPr>
        <w:t>ème</w:t>
      </w:r>
      <w:r>
        <w:rPr>
          <w:rFonts w:ascii="Verdana" w:hAnsi="Verdana"/>
          <w:bCs/>
          <w:sz w:val="22"/>
          <w:szCs w:val="22"/>
        </w:rPr>
        <w:t xml:space="preserve"> siècle. Toutefois, la plupart des pays d’Asie, d’Afrique et d’Amérique latine voient leur niveau de vie diverger durablement avec celui des pays industrialisés. </w:t>
      </w:r>
    </w:p>
    <w:p w14:paraId="76EF032A" w14:textId="77777777" w:rsidR="00353B4A" w:rsidRDefault="00353B4A" w:rsidP="00353B4A">
      <w:pPr>
        <w:spacing w:before="120" w:after="120"/>
        <w:jc w:val="both"/>
        <w:rPr>
          <w:rFonts w:ascii="Arial" w:hAnsi="Arial" w:cs="Arial"/>
          <w:b/>
          <w:bCs/>
          <w:sz w:val="22"/>
          <w:szCs w:val="22"/>
        </w:rPr>
      </w:pPr>
    </w:p>
    <w:p w14:paraId="4A596741" w14:textId="77777777" w:rsidR="00353B4A" w:rsidRPr="00B077CA" w:rsidRDefault="00353B4A" w:rsidP="00353B4A">
      <w:pPr>
        <w:spacing w:before="120" w:after="120"/>
        <w:jc w:val="both"/>
        <w:rPr>
          <w:rFonts w:ascii="Arial" w:hAnsi="Arial" w:cs="Arial"/>
          <w:b/>
          <w:bCs/>
          <w:sz w:val="22"/>
          <w:szCs w:val="22"/>
        </w:rPr>
      </w:pPr>
      <w:r w:rsidRPr="00B077CA">
        <w:rPr>
          <w:rFonts w:ascii="Arial" w:hAnsi="Arial" w:cs="Arial"/>
          <w:b/>
          <w:bCs/>
          <w:sz w:val="22"/>
          <w:szCs w:val="22"/>
        </w:rPr>
        <w:t>Figure 2 : Evolution de très long terme du PIB par tête (en $ de 1990) pour plusieurs régions du monde (0-2001)</w:t>
      </w:r>
    </w:p>
    <w:p w14:paraId="62DB1256" w14:textId="218A7640" w:rsidR="00353B4A" w:rsidRDefault="00353B4A" w:rsidP="00353B4A">
      <w:pPr>
        <w:spacing w:before="120" w:after="120"/>
        <w:jc w:val="both"/>
        <w:rPr>
          <w:rFonts w:ascii="Arial" w:hAnsi="Arial" w:cs="Arial"/>
          <w:bCs/>
          <w:sz w:val="22"/>
          <w:szCs w:val="22"/>
        </w:rPr>
      </w:pPr>
      <w:r w:rsidRPr="0080058F">
        <w:rPr>
          <w:noProof/>
        </w:rPr>
        <w:drawing>
          <wp:inline distT="0" distB="0" distL="0" distR="0" wp14:anchorId="000249B2" wp14:editId="2986557D">
            <wp:extent cx="4975860" cy="3136900"/>
            <wp:effectExtent l="0" t="0" r="2540" b="12700"/>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75860" cy="3136900"/>
                    </a:xfrm>
                    <a:prstGeom prst="rect">
                      <a:avLst/>
                    </a:prstGeom>
                    <a:noFill/>
                    <a:ln>
                      <a:noFill/>
                    </a:ln>
                  </pic:spPr>
                </pic:pic>
              </a:graphicData>
            </a:graphic>
          </wp:inline>
        </w:drawing>
      </w:r>
    </w:p>
    <w:p w14:paraId="095B5266" w14:textId="77777777" w:rsidR="00353B4A" w:rsidRDefault="00353B4A" w:rsidP="00353B4A">
      <w:pPr>
        <w:spacing w:before="120" w:after="120"/>
        <w:jc w:val="both"/>
        <w:rPr>
          <w:noProof/>
        </w:rPr>
      </w:pPr>
    </w:p>
    <w:p w14:paraId="0F74CEC7" w14:textId="77777777" w:rsidR="00353B4A" w:rsidRPr="00B077CA" w:rsidRDefault="00353B4A" w:rsidP="00353B4A">
      <w:pPr>
        <w:spacing w:before="120" w:after="120"/>
        <w:jc w:val="center"/>
        <w:rPr>
          <w:rFonts w:ascii="Arial" w:hAnsi="Arial" w:cs="Arial"/>
          <w:b/>
          <w:noProof/>
          <w:sz w:val="22"/>
        </w:rPr>
      </w:pPr>
      <w:r w:rsidRPr="00B077CA">
        <w:rPr>
          <w:rFonts w:ascii="Arial" w:hAnsi="Arial" w:cs="Arial"/>
          <w:b/>
          <w:noProof/>
          <w:sz w:val="22"/>
        </w:rPr>
        <w:lastRenderedPageBreak/>
        <w:t>Figure 3</w:t>
      </w:r>
    </w:p>
    <w:p w14:paraId="572D4D7B" w14:textId="0A2EB574" w:rsidR="00353B4A" w:rsidRDefault="00353B4A" w:rsidP="00353B4A">
      <w:pPr>
        <w:spacing w:before="360" w:after="240"/>
        <w:jc w:val="center"/>
        <w:rPr>
          <w:rFonts w:ascii="Verdana" w:hAnsi="Verdana"/>
          <w:bCs/>
          <w:sz w:val="22"/>
          <w:szCs w:val="22"/>
        </w:rPr>
      </w:pPr>
      <w:r w:rsidRPr="0080058F">
        <w:rPr>
          <w:noProof/>
        </w:rPr>
        <w:drawing>
          <wp:inline distT="0" distB="0" distL="0" distR="0" wp14:anchorId="72D1D541" wp14:editId="01511E5E">
            <wp:extent cx="4291168" cy="2813105"/>
            <wp:effectExtent l="0" t="0" r="1905" b="6350"/>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16039" cy="2829409"/>
                    </a:xfrm>
                    <a:prstGeom prst="rect">
                      <a:avLst/>
                    </a:prstGeom>
                    <a:noFill/>
                    <a:ln>
                      <a:noFill/>
                    </a:ln>
                  </pic:spPr>
                </pic:pic>
              </a:graphicData>
            </a:graphic>
          </wp:inline>
        </w:drawing>
      </w:r>
    </w:p>
    <w:p w14:paraId="1ED92A72" w14:textId="77777777" w:rsidR="00353B4A" w:rsidRPr="00D57A06" w:rsidRDefault="00353B4A" w:rsidP="00353B4A">
      <w:pPr>
        <w:spacing w:before="120" w:after="120"/>
        <w:jc w:val="both"/>
        <w:rPr>
          <w:rFonts w:ascii="Arial" w:hAnsi="Arial" w:cs="Arial"/>
          <w:b/>
          <w:bCs/>
          <w:sz w:val="22"/>
          <w:szCs w:val="22"/>
        </w:rPr>
      </w:pPr>
      <w:r w:rsidRPr="00D57A06">
        <w:rPr>
          <w:rFonts w:ascii="Arial" w:hAnsi="Arial" w:cs="Arial"/>
          <w:b/>
          <w:bCs/>
          <w:sz w:val="22"/>
          <w:szCs w:val="22"/>
        </w:rPr>
        <w:t>Figure 4 : Courbes de diffusion régionale du développement industriel : Proportion de la population de chaque région du monde vivant dans des pays ayant atteint le niveau de développement industriel de la Grande-Bretagne en 1870.</w:t>
      </w:r>
    </w:p>
    <w:p w14:paraId="7E47918D" w14:textId="77777777" w:rsidR="00353B4A" w:rsidRDefault="00353B4A" w:rsidP="00353B4A">
      <w:pPr>
        <w:spacing w:before="360" w:after="240"/>
        <w:jc w:val="both"/>
        <w:rPr>
          <w:rFonts w:ascii="Verdana" w:hAnsi="Verdana"/>
          <w:bCs/>
          <w:sz w:val="22"/>
          <w:szCs w:val="22"/>
        </w:rPr>
      </w:pPr>
      <w:r w:rsidRPr="0080058F">
        <w:rPr>
          <w:noProof/>
        </w:rPr>
        <w:drawing>
          <wp:inline distT="0" distB="0" distL="0" distR="0" wp14:anchorId="381BD578" wp14:editId="5EF50CBC">
            <wp:extent cx="5762625" cy="3955415"/>
            <wp:effectExtent l="0" t="0" r="3175" b="6985"/>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2625" cy="3955415"/>
                    </a:xfrm>
                    <a:prstGeom prst="rect">
                      <a:avLst/>
                    </a:prstGeom>
                    <a:noFill/>
                    <a:ln>
                      <a:noFill/>
                    </a:ln>
                  </pic:spPr>
                </pic:pic>
              </a:graphicData>
            </a:graphic>
          </wp:inline>
        </w:drawing>
      </w:r>
    </w:p>
    <w:p w14:paraId="12A11DF9" w14:textId="1E1AA772" w:rsidR="00401944" w:rsidRDefault="00353B4A" w:rsidP="00353B4A">
      <w:pPr>
        <w:spacing w:before="360" w:after="240"/>
        <w:jc w:val="both"/>
        <w:rPr>
          <w:rFonts w:ascii="Verdana" w:hAnsi="Verdana"/>
          <w:bCs/>
          <w:sz w:val="22"/>
          <w:szCs w:val="22"/>
        </w:rPr>
      </w:pPr>
      <w:r>
        <w:rPr>
          <w:rFonts w:ascii="Verdana" w:hAnsi="Verdana"/>
          <w:bCs/>
          <w:sz w:val="22"/>
          <w:szCs w:val="22"/>
        </w:rPr>
        <w:t>Le t</w:t>
      </w:r>
      <w:r>
        <w:rPr>
          <w:rFonts w:ascii="Verdana" w:hAnsi="Verdana"/>
          <w:bCs/>
          <w:sz w:val="22"/>
          <w:szCs w:val="22"/>
        </w:rPr>
        <w:t>ableau 2</w:t>
      </w:r>
      <w:r>
        <w:rPr>
          <w:rFonts w:ascii="Verdana" w:hAnsi="Verdana"/>
          <w:bCs/>
          <w:sz w:val="22"/>
          <w:szCs w:val="22"/>
        </w:rPr>
        <w:t xml:space="preserve"> montre que c</w:t>
      </w:r>
      <w:r w:rsidR="00401944">
        <w:rPr>
          <w:rFonts w:ascii="Verdana" w:hAnsi="Verdana"/>
          <w:bCs/>
          <w:sz w:val="22"/>
          <w:szCs w:val="22"/>
        </w:rPr>
        <w:t xml:space="preserve">ette tendance ne s’est toujours pas renversée aujourd’hui, et les écarts de développement économique ne cessent de s’accroître </w:t>
      </w:r>
      <w:r>
        <w:rPr>
          <w:rFonts w:ascii="Verdana" w:hAnsi="Verdana"/>
          <w:bCs/>
          <w:sz w:val="22"/>
          <w:szCs w:val="22"/>
        </w:rPr>
        <w:t xml:space="preserve">() </w:t>
      </w:r>
      <w:r w:rsidR="00401944">
        <w:rPr>
          <w:rFonts w:ascii="Verdana" w:hAnsi="Verdana"/>
          <w:bCs/>
          <w:sz w:val="22"/>
          <w:szCs w:val="22"/>
        </w:rPr>
        <w:t xml:space="preserve">entre les régions où la croissance est régulière, même si elle est </w:t>
      </w:r>
      <w:r w:rsidR="00401944">
        <w:rPr>
          <w:rFonts w:ascii="Verdana" w:hAnsi="Verdana"/>
          <w:bCs/>
          <w:sz w:val="22"/>
          <w:szCs w:val="22"/>
        </w:rPr>
        <w:lastRenderedPageBreak/>
        <w:t>relativement lente depuis 30 ans, et les régions où la croissance peut être forte mais est souvent très instable, empêchant la capitalisation des progrès socio-économique et productifs.</w:t>
      </w:r>
    </w:p>
    <w:p w14:paraId="643320D5" w14:textId="77777777" w:rsidR="00353B4A" w:rsidRPr="00B077CA" w:rsidRDefault="00353B4A" w:rsidP="00353B4A">
      <w:pPr>
        <w:spacing w:before="120" w:after="120"/>
        <w:jc w:val="both"/>
        <w:rPr>
          <w:rFonts w:ascii="Arial" w:hAnsi="Arial" w:cs="Arial"/>
          <w:b/>
          <w:noProof/>
          <w:sz w:val="22"/>
        </w:rPr>
      </w:pPr>
      <w:r w:rsidRPr="00B077CA">
        <w:rPr>
          <w:rFonts w:ascii="Arial" w:hAnsi="Arial" w:cs="Arial"/>
          <w:b/>
          <w:noProof/>
          <w:sz w:val="22"/>
        </w:rPr>
        <w:t>Tableau 2 : Niveaux de revenu par tête par groupes de pays 0-2008</w:t>
      </w:r>
    </w:p>
    <w:p w14:paraId="28109F02" w14:textId="0E4AE49E" w:rsidR="00353B4A" w:rsidRPr="00353B4A" w:rsidRDefault="00353B4A" w:rsidP="00353B4A">
      <w:pPr>
        <w:spacing w:before="120" w:after="120"/>
        <w:jc w:val="both"/>
        <w:rPr>
          <w:rFonts w:ascii="Arial" w:hAnsi="Arial" w:cs="Arial"/>
          <w:bCs/>
          <w:sz w:val="22"/>
          <w:szCs w:val="22"/>
        </w:rPr>
      </w:pPr>
      <w:r w:rsidRPr="0080058F">
        <w:rPr>
          <w:noProof/>
        </w:rPr>
        <w:drawing>
          <wp:inline distT="0" distB="0" distL="0" distR="0" wp14:anchorId="731E15B1" wp14:editId="5EB985B2">
            <wp:extent cx="3605368" cy="2436978"/>
            <wp:effectExtent l="0" t="0" r="1905" b="1905"/>
            <wp:docPr id="82"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24223" cy="2449723"/>
                    </a:xfrm>
                    <a:prstGeom prst="rect">
                      <a:avLst/>
                    </a:prstGeom>
                    <a:noFill/>
                    <a:ln>
                      <a:noFill/>
                    </a:ln>
                  </pic:spPr>
                </pic:pic>
              </a:graphicData>
            </a:graphic>
          </wp:inline>
        </w:drawing>
      </w:r>
    </w:p>
    <w:p w14:paraId="0645AC79" w14:textId="77777777" w:rsidR="00353B4A" w:rsidRDefault="00353B4A" w:rsidP="00353B4A">
      <w:pPr>
        <w:spacing w:before="120" w:after="120"/>
        <w:jc w:val="both"/>
        <w:rPr>
          <w:rFonts w:ascii="Arial" w:hAnsi="Arial" w:cs="Arial"/>
          <w:bCs/>
          <w:sz w:val="22"/>
          <w:szCs w:val="22"/>
        </w:rPr>
      </w:pPr>
      <w:r>
        <w:rPr>
          <w:rFonts w:ascii="Arial" w:hAnsi="Arial" w:cs="Arial"/>
          <w:bCs/>
          <w:sz w:val="22"/>
          <w:szCs w:val="22"/>
        </w:rPr>
        <w:t>Qu’est-ce qui explique que les pays du nord continuent à augmenter leur avance sur la plupart des pays en développement ? Qu’est-ce qui explique que certains pays en développement parviennent à amorcer des trajectoires de croissance soutenue alors que les autres stagnent ?</w:t>
      </w:r>
    </w:p>
    <w:p w14:paraId="39F63EC7" w14:textId="77777777" w:rsidR="00353B4A" w:rsidRDefault="00353B4A" w:rsidP="00353B4A">
      <w:pPr>
        <w:jc w:val="both"/>
        <w:rPr>
          <w:rFonts w:ascii="Arial" w:hAnsi="Arial" w:cs="Arial"/>
          <w:sz w:val="22"/>
          <w:szCs w:val="22"/>
        </w:rPr>
      </w:pPr>
      <w:r w:rsidRPr="00FD7756">
        <w:rPr>
          <w:rFonts w:ascii="Arial" w:hAnsi="Arial" w:cs="Arial"/>
          <w:sz w:val="22"/>
          <w:szCs w:val="22"/>
        </w:rPr>
        <w:t>Ce n’est qu’au cours du 19</w:t>
      </w:r>
      <w:r w:rsidRPr="00FD7756">
        <w:rPr>
          <w:rFonts w:ascii="Arial" w:hAnsi="Arial" w:cs="Arial"/>
          <w:sz w:val="22"/>
          <w:szCs w:val="22"/>
          <w:vertAlign w:val="superscript"/>
        </w:rPr>
        <w:t>ème</w:t>
      </w:r>
      <w:r w:rsidRPr="00FD7756">
        <w:rPr>
          <w:rFonts w:ascii="Arial" w:hAnsi="Arial" w:cs="Arial"/>
          <w:sz w:val="22"/>
          <w:szCs w:val="22"/>
        </w:rPr>
        <w:t xml:space="preserve"> siècle que les pays aujourd’hui développés prennent véritablement leur essor économique au moment de la révolution industrielle. </w:t>
      </w:r>
    </w:p>
    <w:p w14:paraId="36D32133" w14:textId="77777777" w:rsidR="00353B4A" w:rsidRDefault="00353B4A" w:rsidP="00353B4A">
      <w:pPr>
        <w:spacing w:before="120" w:after="120"/>
        <w:jc w:val="both"/>
        <w:rPr>
          <w:rFonts w:ascii="Arial" w:hAnsi="Arial" w:cs="Arial"/>
          <w:bCs/>
          <w:sz w:val="22"/>
          <w:szCs w:val="22"/>
        </w:rPr>
      </w:pPr>
      <w:r>
        <w:rPr>
          <w:rFonts w:ascii="Arial" w:hAnsi="Arial" w:cs="Arial"/>
          <w:bCs/>
          <w:sz w:val="22"/>
          <w:szCs w:val="22"/>
        </w:rPr>
        <w:t xml:space="preserve">L’Angleterre constitue un parfait exemple puisque les </w:t>
      </w:r>
      <w:r w:rsidRPr="00433A2B">
        <w:rPr>
          <w:rFonts w:ascii="Arial" w:hAnsi="Arial" w:cs="Arial"/>
          <w:b/>
          <w:bCs/>
          <w:sz w:val="22"/>
          <w:szCs w:val="22"/>
        </w:rPr>
        <w:t>conditions institutionnelles</w:t>
      </w:r>
      <w:r>
        <w:rPr>
          <w:rFonts w:ascii="Arial" w:hAnsi="Arial" w:cs="Arial"/>
          <w:bCs/>
          <w:sz w:val="22"/>
          <w:szCs w:val="22"/>
        </w:rPr>
        <w:t xml:space="preserve"> très favorables à la prise de risque et à la valorisation des connaissances scientifiques par l’innovation ont permis aux industriels de compenser les coûts du travail croissants (augmentation des prix alimentaires du fait de la croissance des populations urbaines) par des gains de productivités alimentés par une </w:t>
      </w:r>
      <w:r w:rsidRPr="00433A2B">
        <w:rPr>
          <w:rFonts w:ascii="Arial" w:hAnsi="Arial" w:cs="Arial"/>
          <w:b/>
          <w:bCs/>
          <w:sz w:val="22"/>
          <w:szCs w:val="22"/>
        </w:rPr>
        <w:t>mécanisation croissante</w:t>
      </w:r>
      <w:r>
        <w:rPr>
          <w:rFonts w:ascii="Arial" w:hAnsi="Arial" w:cs="Arial"/>
          <w:bCs/>
          <w:sz w:val="22"/>
          <w:szCs w:val="22"/>
        </w:rPr>
        <w:t xml:space="preserve"> et par des </w:t>
      </w:r>
      <w:r w:rsidRPr="00433A2B">
        <w:rPr>
          <w:rFonts w:ascii="Arial" w:hAnsi="Arial" w:cs="Arial"/>
          <w:b/>
          <w:bCs/>
          <w:sz w:val="22"/>
          <w:szCs w:val="22"/>
        </w:rPr>
        <w:t>innovations régulières</w:t>
      </w:r>
      <w:r>
        <w:rPr>
          <w:rFonts w:ascii="Arial" w:hAnsi="Arial" w:cs="Arial"/>
          <w:bCs/>
          <w:sz w:val="22"/>
          <w:szCs w:val="22"/>
        </w:rPr>
        <w:t xml:space="preserve"> </w:t>
      </w:r>
      <w:r w:rsidRPr="00433A2B">
        <w:rPr>
          <w:rFonts w:ascii="Arial" w:hAnsi="Arial" w:cs="Arial"/>
          <w:b/>
          <w:bCs/>
          <w:sz w:val="22"/>
          <w:szCs w:val="22"/>
        </w:rPr>
        <w:t>et cumulatives</w:t>
      </w:r>
      <w:r>
        <w:rPr>
          <w:rFonts w:ascii="Arial" w:hAnsi="Arial" w:cs="Arial"/>
          <w:bCs/>
          <w:sz w:val="22"/>
          <w:szCs w:val="22"/>
        </w:rPr>
        <w:t xml:space="preserve">. Cette mécanisation s’est traduite par une substitution de biens d’équipements à du travail de plus en plus coûteux. Une conséquence importante est que cette substitution du capital au travail a non seulement permis de stimuler la </w:t>
      </w:r>
      <w:r w:rsidRPr="008A5B4F">
        <w:rPr>
          <w:rFonts w:ascii="Arial" w:hAnsi="Arial" w:cs="Arial"/>
          <w:b/>
          <w:bCs/>
          <w:sz w:val="22"/>
          <w:szCs w:val="22"/>
        </w:rPr>
        <w:t>productivité industrielle</w:t>
      </w:r>
      <w:r>
        <w:rPr>
          <w:rFonts w:ascii="Arial" w:hAnsi="Arial" w:cs="Arial"/>
          <w:bCs/>
          <w:sz w:val="22"/>
          <w:szCs w:val="22"/>
        </w:rPr>
        <w:t xml:space="preserve"> mais a également suscité l’éclosion et le développement de nouveaux secteurs d’activité comme la sidérurgie ou les industries de biens d’équipement qui ont renforcé l’avance économique de l’Angleterre.</w:t>
      </w:r>
    </w:p>
    <w:p w14:paraId="5CAD7140" w14:textId="77777777" w:rsidR="00353B4A" w:rsidRDefault="00353B4A" w:rsidP="00353B4A">
      <w:pPr>
        <w:spacing w:before="120" w:after="120"/>
        <w:jc w:val="both"/>
        <w:rPr>
          <w:noProof/>
        </w:rPr>
      </w:pPr>
      <w:r>
        <w:rPr>
          <w:rFonts w:ascii="Arial" w:hAnsi="Arial" w:cs="Arial"/>
          <w:bCs/>
          <w:sz w:val="22"/>
          <w:szCs w:val="22"/>
        </w:rPr>
        <w:t xml:space="preserve">L’ouverture au </w:t>
      </w:r>
      <w:r w:rsidRPr="00433A2B">
        <w:rPr>
          <w:rFonts w:ascii="Arial" w:hAnsi="Arial" w:cs="Arial"/>
          <w:b/>
          <w:bCs/>
          <w:sz w:val="22"/>
          <w:szCs w:val="22"/>
        </w:rPr>
        <w:t>commerce mondial</w:t>
      </w:r>
      <w:r>
        <w:rPr>
          <w:rFonts w:ascii="Arial" w:hAnsi="Arial" w:cs="Arial"/>
          <w:bCs/>
          <w:sz w:val="22"/>
          <w:szCs w:val="22"/>
        </w:rPr>
        <w:t xml:space="preserve"> a en outre soutenu ces dynamiques, l’Angleterre important les ressources naturelles et produits agricoles nécessaires à son développement et exportant des produits finis dont le marché devient alors mondial.</w:t>
      </w:r>
      <w:r w:rsidRPr="008A5B4F">
        <w:rPr>
          <w:noProof/>
        </w:rPr>
        <w:t xml:space="preserve"> </w:t>
      </w:r>
    </w:p>
    <w:p w14:paraId="24F93481" w14:textId="1011792E" w:rsidR="00353B4A" w:rsidRPr="00353B4A" w:rsidRDefault="00353B4A" w:rsidP="00353B4A">
      <w:pPr>
        <w:spacing w:before="120" w:after="120"/>
        <w:jc w:val="both"/>
        <w:rPr>
          <w:rFonts w:ascii="Arial" w:hAnsi="Arial" w:cs="Arial"/>
          <w:sz w:val="22"/>
          <w:szCs w:val="22"/>
        </w:rPr>
      </w:pPr>
      <w:r>
        <w:rPr>
          <w:rFonts w:ascii="Arial" w:hAnsi="Arial" w:cs="Arial"/>
          <w:bCs/>
          <w:sz w:val="22"/>
          <w:szCs w:val="22"/>
        </w:rPr>
        <w:t>Le reste de l’Europe et l’Amérique du nord reproduisent, avec un décalage, le modèle d’industrialisation britannique. Le reste du monde reste en revanche bloqué à un niveau de développement durablement faible pendant tout le 19</w:t>
      </w:r>
      <w:r w:rsidRPr="00102859">
        <w:rPr>
          <w:rFonts w:ascii="Arial" w:hAnsi="Arial" w:cs="Arial"/>
          <w:bCs/>
          <w:sz w:val="22"/>
          <w:szCs w:val="22"/>
          <w:vertAlign w:val="superscript"/>
        </w:rPr>
        <w:t>ème</w:t>
      </w:r>
      <w:r>
        <w:rPr>
          <w:rFonts w:ascii="Arial" w:hAnsi="Arial" w:cs="Arial"/>
          <w:bCs/>
          <w:sz w:val="22"/>
          <w:szCs w:val="22"/>
        </w:rPr>
        <w:t xml:space="preserve"> et jusqu’à la fin du 20</w:t>
      </w:r>
      <w:r w:rsidRPr="00102859">
        <w:rPr>
          <w:rFonts w:ascii="Arial" w:hAnsi="Arial" w:cs="Arial"/>
          <w:bCs/>
          <w:sz w:val="22"/>
          <w:szCs w:val="22"/>
          <w:vertAlign w:val="superscript"/>
        </w:rPr>
        <w:t>ème</w:t>
      </w:r>
      <w:r>
        <w:rPr>
          <w:rFonts w:ascii="Arial" w:hAnsi="Arial" w:cs="Arial"/>
          <w:bCs/>
          <w:sz w:val="22"/>
          <w:szCs w:val="22"/>
        </w:rPr>
        <w:t xml:space="preserve"> siècle. On parle de </w:t>
      </w:r>
      <w:r w:rsidRPr="009A330C">
        <w:rPr>
          <w:rFonts w:ascii="Arial" w:hAnsi="Arial" w:cs="Arial"/>
          <w:b/>
          <w:bCs/>
          <w:sz w:val="22"/>
          <w:szCs w:val="22"/>
        </w:rPr>
        <w:t>divergence</w:t>
      </w:r>
      <w:r w:rsidRPr="006D687A">
        <w:rPr>
          <w:rFonts w:ascii="Arial" w:hAnsi="Arial" w:cs="Arial"/>
          <w:sz w:val="22"/>
          <w:szCs w:val="22"/>
        </w:rPr>
        <w:t xml:space="preserve"> </w:t>
      </w:r>
      <w:r>
        <w:rPr>
          <w:rFonts w:ascii="Arial" w:hAnsi="Arial" w:cs="Arial"/>
          <w:sz w:val="22"/>
          <w:szCs w:val="22"/>
        </w:rPr>
        <w:t xml:space="preserve">car </w:t>
      </w:r>
      <w:r w:rsidRPr="00FD7756">
        <w:rPr>
          <w:rFonts w:ascii="Arial" w:hAnsi="Arial" w:cs="Arial"/>
          <w:sz w:val="22"/>
          <w:szCs w:val="22"/>
        </w:rPr>
        <w:t>les écarts de développement commencent à se creuser durablement</w:t>
      </w:r>
      <w:r>
        <w:rPr>
          <w:rFonts w:ascii="Arial" w:hAnsi="Arial" w:cs="Arial"/>
          <w:bCs/>
          <w:sz w:val="22"/>
          <w:szCs w:val="22"/>
        </w:rPr>
        <w:t>.</w:t>
      </w:r>
      <w:r w:rsidRPr="006D687A">
        <w:rPr>
          <w:rFonts w:ascii="Arial" w:hAnsi="Arial" w:cs="Arial"/>
          <w:sz w:val="22"/>
          <w:szCs w:val="22"/>
        </w:rPr>
        <w:t xml:space="preserve"> </w:t>
      </w:r>
      <w:r>
        <w:rPr>
          <w:rFonts w:ascii="Arial" w:hAnsi="Arial" w:cs="Arial"/>
          <w:sz w:val="22"/>
          <w:szCs w:val="22"/>
        </w:rPr>
        <w:t>A</w:t>
      </w:r>
      <w:r w:rsidRPr="00FD7756">
        <w:rPr>
          <w:rFonts w:ascii="Arial" w:hAnsi="Arial" w:cs="Arial"/>
          <w:sz w:val="22"/>
          <w:szCs w:val="22"/>
        </w:rPr>
        <w:t>insi</w:t>
      </w:r>
      <w:r>
        <w:rPr>
          <w:rFonts w:ascii="Arial" w:hAnsi="Arial" w:cs="Arial"/>
          <w:sz w:val="22"/>
          <w:szCs w:val="22"/>
        </w:rPr>
        <w:t xml:space="preserve">, </w:t>
      </w:r>
      <w:r w:rsidRPr="00353B4A">
        <w:rPr>
          <w:rFonts w:ascii="Arial" w:hAnsi="Arial" w:cs="Arial"/>
          <w:sz w:val="22"/>
          <w:szCs w:val="22"/>
        </w:rPr>
        <w:t>entre 1820 et 2008, le ratio du revenu des pays le plus riches sur celui des pays les plus pauvres est passé de 2,9 pour 1 à 16,9 pour 1.</w:t>
      </w:r>
      <w:r w:rsidRPr="00FD7756">
        <w:rPr>
          <w:rFonts w:ascii="Arial" w:hAnsi="Arial" w:cs="Arial"/>
          <w:sz w:val="22"/>
          <w:szCs w:val="22"/>
        </w:rPr>
        <w:t xml:space="preserve"> Dans le même temps, la dispersion a forcément aussi augmenté puisque l’écart-type de la distribution mondiale de </w:t>
      </w:r>
      <w:r>
        <w:rPr>
          <w:rFonts w:ascii="Arial" w:hAnsi="Arial" w:cs="Arial"/>
          <w:sz w:val="22"/>
          <w:szCs w:val="22"/>
        </w:rPr>
        <w:t>revenu</w:t>
      </w:r>
      <w:r w:rsidRPr="00FD7756">
        <w:rPr>
          <w:rFonts w:ascii="Arial" w:hAnsi="Arial" w:cs="Arial"/>
          <w:sz w:val="22"/>
          <w:szCs w:val="22"/>
        </w:rPr>
        <w:t xml:space="preserve"> par tête a doublé, </w:t>
      </w:r>
      <w:r>
        <w:rPr>
          <w:rFonts w:ascii="Arial" w:hAnsi="Arial" w:cs="Arial"/>
          <w:sz w:val="22"/>
          <w:szCs w:val="22"/>
        </w:rPr>
        <w:t>et l’écart de revenu moyen entre riches et pauvres est passé de $1,286 to $12,000</w:t>
      </w:r>
      <w:r>
        <w:rPr>
          <w:rFonts w:ascii="Arial" w:hAnsi="Arial" w:cs="Arial"/>
          <w:sz w:val="22"/>
          <w:szCs w:val="22"/>
        </w:rPr>
        <w:t>.</w:t>
      </w:r>
    </w:p>
    <w:p w14:paraId="075FF423" w14:textId="77777777" w:rsidR="00353B4A" w:rsidRDefault="00353B4A" w:rsidP="00353B4A">
      <w:pPr>
        <w:spacing w:before="120" w:after="120"/>
        <w:jc w:val="both"/>
        <w:rPr>
          <w:rFonts w:ascii="Arial" w:hAnsi="Arial" w:cs="Arial"/>
          <w:sz w:val="22"/>
          <w:szCs w:val="22"/>
        </w:rPr>
      </w:pPr>
      <w:r>
        <w:rPr>
          <w:rFonts w:ascii="Arial" w:hAnsi="Arial" w:cs="Arial"/>
          <w:sz w:val="22"/>
          <w:szCs w:val="22"/>
        </w:rPr>
        <w:t xml:space="preserve">Comment peut-on expliquer cette divergence ? L’hypothèse selon laquelle les pays en retard de développement seraient avantagés par rapport aux pays en avance car ils ont accès aux </w:t>
      </w:r>
      <w:r>
        <w:rPr>
          <w:rFonts w:ascii="Arial" w:hAnsi="Arial" w:cs="Arial"/>
          <w:sz w:val="22"/>
          <w:szCs w:val="22"/>
        </w:rPr>
        <w:lastRenderedPageBreak/>
        <w:t>technologies et aux modes d’organisation les plus efficaces plus rapidement que ceux qui ont eu à les inventer (Hume, Gershenkron) semble remise en question. En effet, l’histoire des 200 dernières années montre que les cas où des pays très en retard parviennent à réduire la distance par rapport aux pays en avance sont très rares. Ce sont des exceptions : Japon, Corée du sud.</w:t>
      </w:r>
    </w:p>
    <w:p w14:paraId="072589D5" w14:textId="77777777" w:rsidR="00353B4A" w:rsidRDefault="00353B4A" w:rsidP="00353B4A">
      <w:pPr>
        <w:spacing w:before="120" w:after="120"/>
        <w:jc w:val="both"/>
        <w:rPr>
          <w:rFonts w:ascii="Arial" w:hAnsi="Arial" w:cs="Arial"/>
          <w:bCs/>
          <w:sz w:val="22"/>
          <w:szCs w:val="22"/>
        </w:rPr>
      </w:pPr>
      <w:r>
        <w:rPr>
          <w:rFonts w:ascii="Arial" w:hAnsi="Arial" w:cs="Arial"/>
          <w:bCs/>
          <w:sz w:val="22"/>
          <w:szCs w:val="22"/>
        </w:rPr>
        <w:t>Il est généralement admis que c’est l’industrialisation des pays du nord qui a bloqué celle du sud. L’inde et la Chine étaient, jusqu’au 18</w:t>
      </w:r>
      <w:r w:rsidRPr="00617F07">
        <w:rPr>
          <w:rFonts w:ascii="Arial" w:hAnsi="Arial" w:cs="Arial"/>
          <w:bCs/>
          <w:sz w:val="22"/>
          <w:szCs w:val="22"/>
          <w:vertAlign w:val="superscript"/>
        </w:rPr>
        <w:t>ème</w:t>
      </w:r>
      <w:r>
        <w:rPr>
          <w:rFonts w:ascii="Arial" w:hAnsi="Arial" w:cs="Arial"/>
          <w:bCs/>
          <w:sz w:val="22"/>
          <w:szCs w:val="22"/>
        </w:rPr>
        <w:t xml:space="preserve"> siècle, au moins aussi avancées, d’un point de vue technologique et industriel, que l’Europe. La Figure 3 montre en effet qu’alors que l’Inde et la Chine étaient aussi industrialisés que l’Angleterre en 1750, ils se sont désindustrialisés en même temps que les pays européens et l’Amérique du nord s’industrialisaient. Des industries européennes intensives en capital et en technologies de plus en plus productives ont imposé une concurrence de plus en plus intense aux anciennes puissances économiques d’Asie que le tissu artisanal de ces dernières n’ont pas pu soutenir. La première mondialisation (1750-1914) a donc redistribué la puissance économique en faveur des pays européens et de leurs satellites (USA, Canada, Nouvelle-Zélande). </w:t>
      </w:r>
    </w:p>
    <w:p w14:paraId="4666D3D1" w14:textId="3E8BA631" w:rsidR="00353B4A" w:rsidRPr="005D1CEA" w:rsidRDefault="00353B4A" w:rsidP="00353B4A">
      <w:pPr>
        <w:spacing w:before="120" w:after="120"/>
        <w:jc w:val="both"/>
        <w:rPr>
          <w:rFonts w:ascii="Arial" w:hAnsi="Arial" w:cs="Arial"/>
          <w:bCs/>
          <w:sz w:val="22"/>
          <w:szCs w:val="22"/>
        </w:rPr>
      </w:pPr>
      <w:r>
        <w:rPr>
          <w:rFonts w:ascii="Arial" w:hAnsi="Arial" w:cs="Arial"/>
          <w:bCs/>
          <w:sz w:val="22"/>
          <w:szCs w:val="22"/>
        </w:rPr>
        <w:t xml:space="preserve">En ce qui concerne les autres régions en retard de développement, d’autres facteurs de blocages sont identifiables, pas nécessairement tous dus à la concurrence des pays européens. Beaucoup de pays en développement sont restés durablement peu développés et industrialisés car tout changement structurel est bloqué par l’absence d’incitations suffisantes à investir dans les activités nouvelles industrielles et urbaines, faute de demande suffisante, faute d’épargne et de financement suffisant et faute d’incitations de marché. </w:t>
      </w:r>
    </w:p>
    <w:p w14:paraId="71D8DCCD" w14:textId="77777777" w:rsidR="00353B4A" w:rsidRDefault="00353B4A" w:rsidP="00353B4A">
      <w:pPr>
        <w:spacing w:before="120" w:after="120"/>
        <w:jc w:val="both"/>
        <w:rPr>
          <w:rFonts w:ascii="Arial" w:hAnsi="Arial" w:cs="Arial"/>
          <w:bCs/>
          <w:sz w:val="22"/>
          <w:szCs w:val="22"/>
        </w:rPr>
      </w:pPr>
      <w:r>
        <w:rPr>
          <w:rFonts w:ascii="Arial" w:hAnsi="Arial" w:cs="Arial"/>
          <w:bCs/>
          <w:sz w:val="22"/>
          <w:szCs w:val="22"/>
        </w:rPr>
        <w:t>L’absence de progrès dans l’agriculture a pu bloquer le processus de changement structurel qui est à la base du développement économique. Ainsi, en Europe, les progrès agricoles progressivement réalisés à partir du 16</w:t>
      </w:r>
      <w:r w:rsidRPr="00D57A06">
        <w:rPr>
          <w:rFonts w:ascii="Arial" w:hAnsi="Arial" w:cs="Arial"/>
          <w:bCs/>
          <w:sz w:val="22"/>
          <w:szCs w:val="22"/>
          <w:vertAlign w:val="superscript"/>
        </w:rPr>
        <w:t>ème</w:t>
      </w:r>
      <w:r>
        <w:rPr>
          <w:rFonts w:ascii="Arial" w:hAnsi="Arial" w:cs="Arial"/>
          <w:bCs/>
          <w:sz w:val="22"/>
          <w:szCs w:val="22"/>
        </w:rPr>
        <w:t xml:space="preserve"> siècle s’accélèrent au 18</w:t>
      </w:r>
      <w:r w:rsidRPr="00D57A06">
        <w:rPr>
          <w:rFonts w:ascii="Arial" w:hAnsi="Arial" w:cs="Arial"/>
          <w:bCs/>
          <w:sz w:val="22"/>
          <w:szCs w:val="22"/>
          <w:vertAlign w:val="superscript"/>
        </w:rPr>
        <w:t>ème</w:t>
      </w:r>
      <w:r>
        <w:rPr>
          <w:rFonts w:ascii="Arial" w:hAnsi="Arial" w:cs="Arial"/>
          <w:bCs/>
          <w:sz w:val="22"/>
          <w:szCs w:val="22"/>
        </w:rPr>
        <w:t xml:space="preserve"> et libèrent du travail et du capital qui peuvent être mobilisés par de nouvelles activités (textiles, équipements, services) capables de répondre à la demande croissance et de plus en plus diversifiée alimentée par la progression des revenus ruraux et urbains. </w:t>
      </w:r>
    </w:p>
    <w:p w14:paraId="279BA98C" w14:textId="77777777" w:rsidR="00353B4A" w:rsidRDefault="00353B4A" w:rsidP="00353B4A">
      <w:pPr>
        <w:spacing w:before="120" w:after="120"/>
        <w:jc w:val="both"/>
        <w:rPr>
          <w:rFonts w:ascii="Arial" w:hAnsi="Arial" w:cs="Arial"/>
          <w:bCs/>
          <w:sz w:val="22"/>
          <w:szCs w:val="22"/>
        </w:rPr>
      </w:pPr>
      <w:r>
        <w:rPr>
          <w:rFonts w:ascii="Arial" w:hAnsi="Arial" w:cs="Arial"/>
          <w:bCs/>
          <w:sz w:val="22"/>
          <w:szCs w:val="22"/>
        </w:rPr>
        <w:t xml:space="preserve">La croissance et le développement peuvent ainsi être bloqués par la taille insuffisante du marché. C’est un piège de pauvreté de type </w:t>
      </w:r>
      <w:r w:rsidRPr="005F09AB">
        <w:rPr>
          <w:rFonts w:ascii="Arial" w:hAnsi="Arial" w:cs="Arial"/>
          <w:bCs/>
          <w:i/>
          <w:sz w:val="22"/>
          <w:szCs w:val="22"/>
        </w:rPr>
        <w:t>smithien</w:t>
      </w:r>
      <w:r>
        <w:rPr>
          <w:rFonts w:ascii="Arial" w:hAnsi="Arial" w:cs="Arial"/>
          <w:bCs/>
          <w:sz w:val="22"/>
          <w:szCs w:val="22"/>
        </w:rPr>
        <w:t xml:space="preserve"> car il est lié à la taille et la diversification insuffisantes du marché et de la demande. Avant que la croissance soit tirée par les innovations technologiques, il faut qu’elle soit alimentée par l’accumulation de capital physique, c’est-à-dire de biens d’équipements (machines, véhicules …) et d’infrastructures (routes, réseau électrique, transports, internet …) et de capital humain (travailleurs de plus en plus efficaces car mieux formés et en meilleure santé). Cette première étape d’accumulation peut durer longtemps (plus de 100 ans pour les pays aujourd’hui développés ; 30 ou 40 pour la Corée du sud et la Chine).</w:t>
      </w:r>
    </w:p>
    <w:p w14:paraId="19C42A1E" w14:textId="77777777" w:rsidR="00353B4A" w:rsidRDefault="00353B4A" w:rsidP="00353B4A">
      <w:pPr>
        <w:spacing w:before="120" w:after="120"/>
        <w:jc w:val="both"/>
        <w:rPr>
          <w:rFonts w:ascii="Arial" w:hAnsi="Arial" w:cs="Arial"/>
          <w:bCs/>
          <w:sz w:val="22"/>
          <w:szCs w:val="22"/>
        </w:rPr>
      </w:pPr>
      <w:r>
        <w:rPr>
          <w:rFonts w:ascii="Arial" w:hAnsi="Arial" w:cs="Arial"/>
          <w:bCs/>
          <w:sz w:val="22"/>
          <w:szCs w:val="22"/>
        </w:rPr>
        <w:t xml:space="preserve">Toutefois, la poursuite de la croissance à long terme nécessite que des innovations introduisent de nouveaux produits et que les entreprises et secteurs les plus productifs et compétitifs éliminent ceux qui ne le sont plus. C’est </w:t>
      </w:r>
      <w:r w:rsidRPr="008314CB">
        <w:rPr>
          <w:rFonts w:ascii="Arial" w:hAnsi="Arial" w:cs="Arial"/>
          <w:b/>
          <w:bCs/>
          <w:sz w:val="22"/>
          <w:szCs w:val="22"/>
        </w:rPr>
        <w:t>le changement structurel</w:t>
      </w:r>
      <w:r>
        <w:rPr>
          <w:rFonts w:ascii="Arial" w:hAnsi="Arial" w:cs="Arial"/>
          <w:bCs/>
          <w:sz w:val="22"/>
          <w:szCs w:val="22"/>
        </w:rPr>
        <w:t xml:space="preserve"> autrement décrit par Schumpeter comme la </w:t>
      </w:r>
      <w:r w:rsidRPr="008314CB">
        <w:rPr>
          <w:rFonts w:ascii="Arial" w:hAnsi="Arial" w:cs="Arial"/>
          <w:b/>
          <w:bCs/>
          <w:sz w:val="22"/>
          <w:szCs w:val="22"/>
        </w:rPr>
        <w:t>destruction créatrice</w:t>
      </w:r>
      <w:r>
        <w:rPr>
          <w:rFonts w:ascii="Arial" w:hAnsi="Arial" w:cs="Arial"/>
          <w:bCs/>
          <w:sz w:val="22"/>
          <w:szCs w:val="22"/>
        </w:rPr>
        <w:t>. Dans beaucoup de pays en développés durablement pauvres, les innovations et la destruction créatrice ne se font pas, faute d’incitations économiques dues à une demande faible et à un travail très peu coûteux, et faute d’un environnement favorable à l’innovation et à la prise de risque du fait d’un manque de financement et de sécurité des droits de propriété. La pauvreté et les niveaux faibles d’éducation alimentent l’incapacité des économies périphériques à absorber les innovations technologiques des économies centrales. La productivité reste très faible et les incitations à investir très limitées.</w:t>
      </w:r>
    </w:p>
    <w:p w14:paraId="1590749A" w14:textId="77777777" w:rsidR="00353B4A" w:rsidRPr="005A00FE" w:rsidRDefault="00353B4A" w:rsidP="00353B4A">
      <w:pPr>
        <w:spacing w:before="120" w:after="120"/>
        <w:jc w:val="both"/>
        <w:rPr>
          <w:rFonts w:ascii="Arial" w:hAnsi="Arial" w:cs="Arial"/>
          <w:caps/>
          <w:sz w:val="22"/>
          <w:szCs w:val="22"/>
        </w:rPr>
      </w:pPr>
      <w:r>
        <w:rPr>
          <w:rFonts w:ascii="Arial" w:hAnsi="Arial" w:cs="Arial"/>
          <w:sz w:val="22"/>
          <w:szCs w:val="22"/>
        </w:rPr>
        <w:t xml:space="preserve">Pour une grande partie des PED, les facteurs de stagnation sont donc plus forts que les facteurs de convergence vers les pays riches. Les situations sont toutefois très hétérogènes parmi ces pays en retard. Certains ont connu la croissance et cherchent à la maintenir (Chili, Corée, Indonésie), d’autres cherchent à la ré-initier (Brésil, Mexique, Philippines), d’autres cherchent à échapper au piège de la pauvreté (Haïti, Tanzanie, Myanmar) … Ainsi, les </w:t>
      </w:r>
      <w:r>
        <w:rPr>
          <w:rFonts w:ascii="Arial" w:hAnsi="Arial" w:cs="Arial"/>
          <w:sz w:val="22"/>
          <w:szCs w:val="22"/>
        </w:rPr>
        <w:lastRenderedPageBreak/>
        <w:t>facteurs et les politiques de la croissance sont très différents selon les cas.</w:t>
      </w:r>
      <w:r w:rsidRPr="009A5210">
        <w:rPr>
          <w:rFonts w:ascii="Arial" w:hAnsi="Arial" w:cs="Arial"/>
          <w:bCs/>
          <w:sz w:val="22"/>
          <w:szCs w:val="22"/>
        </w:rPr>
        <w:t xml:space="preserve"> </w:t>
      </w:r>
      <w:r w:rsidRPr="0089246D">
        <w:rPr>
          <w:rFonts w:ascii="Arial" w:hAnsi="Arial" w:cs="Arial"/>
          <w:bCs/>
          <w:sz w:val="22"/>
          <w:szCs w:val="22"/>
        </w:rPr>
        <w:t xml:space="preserve">Certains pays apparaissent pourtant aujourd’hui comme des économies très dynamiques et leur poids dans l’économie mondiale ne cesse d’augmenter. Ainsi, la Chine et l’Inde doublent leur PIB en 10 ans alors qu’il faut 40 ans </w:t>
      </w:r>
      <w:r>
        <w:rPr>
          <w:rFonts w:ascii="Arial" w:hAnsi="Arial" w:cs="Arial"/>
          <w:bCs/>
          <w:sz w:val="22"/>
          <w:szCs w:val="22"/>
        </w:rPr>
        <w:t>pour les économies européennes. Toutefois, malgré des taux de croissance élevés, ces économies ne rattrapent pas réellement les niveaux de développement et d’industrialisation des économies du nord. Comprendre la persistance des écarts de développement nécessite de passer par la théorie économique, en particulier celle de la croissance.</w:t>
      </w:r>
    </w:p>
    <w:p w14:paraId="42C7CE64" w14:textId="77777777" w:rsidR="00353B4A" w:rsidRDefault="00353B4A" w:rsidP="00353B4A">
      <w:pPr>
        <w:spacing w:before="360" w:after="240"/>
        <w:jc w:val="both"/>
        <w:rPr>
          <w:rFonts w:ascii="Verdana" w:hAnsi="Verdana"/>
          <w:b/>
          <w:bCs/>
          <w:sz w:val="22"/>
          <w:szCs w:val="22"/>
        </w:rPr>
      </w:pPr>
    </w:p>
    <w:p w14:paraId="134CAE7F" w14:textId="49922074" w:rsidR="008B0E46" w:rsidRPr="0089246D" w:rsidRDefault="005A00FE" w:rsidP="00D57A06">
      <w:pPr>
        <w:numPr>
          <w:ilvl w:val="0"/>
          <w:numId w:val="27"/>
        </w:numPr>
        <w:spacing w:before="360" w:after="240"/>
        <w:ind w:left="426"/>
        <w:jc w:val="both"/>
        <w:rPr>
          <w:rFonts w:ascii="Verdana" w:hAnsi="Verdana"/>
          <w:b/>
          <w:bCs/>
          <w:sz w:val="22"/>
          <w:szCs w:val="22"/>
        </w:rPr>
      </w:pPr>
      <w:r>
        <w:rPr>
          <w:rFonts w:ascii="Verdana" w:hAnsi="Verdana"/>
          <w:b/>
          <w:bCs/>
          <w:sz w:val="22"/>
          <w:szCs w:val="22"/>
        </w:rPr>
        <w:t>La croissance économique </w:t>
      </w:r>
      <w:r w:rsidR="00401944">
        <w:rPr>
          <w:rFonts w:ascii="Verdana" w:hAnsi="Verdana"/>
          <w:b/>
          <w:bCs/>
          <w:sz w:val="22"/>
          <w:szCs w:val="22"/>
        </w:rPr>
        <w:t>dépend d’un grand nombre de facteurs</w:t>
      </w:r>
    </w:p>
    <w:p w14:paraId="7FCEED57" w14:textId="77777777" w:rsidR="008B0E46" w:rsidRPr="00DD41BA" w:rsidRDefault="008B0E46" w:rsidP="008B0E46">
      <w:pPr>
        <w:spacing w:before="120" w:after="120"/>
        <w:ind w:left="62"/>
        <w:jc w:val="both"/>
        <w:rPr>
          <w:rFonts w:ascii="Arial" w:hAnsi="Arial" w:cs="Arial"/>
          <w:bCs/>
          <w:sz w:val="22"/>
          <w:szCs w:val="22"/>
        </w:rPr>
      </w:pPr>
      <w:r w:rsidRPr="00DD41BA">
        <w:rPr>
          <w:rFonts w:ascii="Arial" w:hAnsi="Arial" w:cs="Arial"/>
          <w:bCs/>
          <w:sz w:val="22"/>
          <w:szCs w:val="22"/>
        </w:rPr>
        <w:t>Les théories de la croissance ont considérablement évolué depuis les origines, mais elles ont toujours cherché à comprendre les faits stylisés de leur temps.</w:t>
      </w:r>
    </w:p>
    <w:p w14:paraId="40740D14" w14:textId="77777777" w:rsidR="008B0E46" w:rsidRPr="00DD41BA" w:rsidRDefault="008B0E46" w:rsidP="008B0E46">
      <w:pPr>
        <w:spacing w:before="120" w:after="120"/>
        <w:ind w:left="62"/>
        <w:jc w:val="both"/>
        <w:rPr>
          <w:rFonts w:ascii="Arial" w:hAnsi="Arial" w:cs="Arial"/>
          <w:bCs/>
          <w:sz w:val="22"/>
          <w:szCs w:val="22"/>
        </w:rPr>
      </w:pPr>
      <w:r w:rsidRPr="00DD41BA">
        <w:rPr>
          <w:rFonts w:ascii="Arial" w:hAnsi="Arial" w:cs="Arial"/>
          <w:bCs/>
          <w:sz w:val="22"/>
          <w:szCs w:val="22"/>
        </w:rPr>
        <w:t>Selon les classiques du début du 19</w:t>
      </w:r>
      <w:r w:rsidRPr="00DD41BA">
        <w:rPr>
          <w:rFonts w:ascii="Arial" w:hAnsi="Arial" w:cs="Arial"/>
          <w:bCs/>
          <w:sz w:val="22"/>
          <w:szCs w:val="22"/>
          <w:vertAlign w:val="superscript"/>
        </w:rPr>
        <w:t>ème</w:t>
      </w:r>
      <w:r w:rsidRPr="00DD41BA">
        <w:rPr>
          <w:rFonts w:ascii="Arial" w:hAnsi="Arial" w:cs="Arial"/>
          <w:bCs/>
          <w:sz w:val="22"/>
          <w:szCs w:val="22"/>
        </w:rPr>
        <w:t xml:space="preserve"> siècle, la croissance économique qu’ils commencent à observer n’est pas durable. Plus d’un siècle plus tard, les économistes keynésiens Harrod et Domar profondément marqués par la crise des années 30, démontrent qu’elle ne peut être stable : un sentier de croissance d’équilibre peut exister, mais dès que l’économie s’en éloigne, elle ne peut plus y retourner spontanément, sans aide de l’état. Solow et la théorie néo-classique de la croissance montrent ensuite au milieu des années cinquante et alors que la croissance est forte, régulière et généralisée, qu’une croissance durable, stable et optimale peut se réaliser spontanément par le libre jeu du marché. Toutefois, cette croissance est exogène au système parce qu’elle ne dépend pas de comportements économiques comme l’épargne ou l’investissement, mais d’un progrès technique exogène au modèle. Enfin, au cours des années 80 et 90, les nouvelles théories de la croissance endogène montrent que les nouvelles technologies, ou l’éducation sont des facteurs déterminants de la croissance et qu’ils peuvent permettre de dépasser la fatalité des rendements décroissants pour impulser des dynamiques de croissance autoentretenue.</w:t>
      </w:r>
    </w:p>
    <w:p w14:paraId="3F269673" w14:textId="77777777" w:rsidR="008B0E46" w:rsidRPr="00001A79" w:rsidRDefault="008B0E46" w:rsidP="008B0E46">
      <w:pPr>
        <w:jc w:val="both"/>
        <w:rPr>
          <w:rFonts w:ascii="Verdana" w:hAnsi="Verdana"/>
          <w:b/>
          <w:bCs/>
          <w:sz w:val="22"/>
          <w:szCs w:val="22"/>
        </w:rPr>
      </w:pPr>
      <w:r w:rsidRPr="00DD41BA">
        <w:rPr>
          <w:rFonts w:ascii="Arial" w:hAnsi="Arial" w:cs="Arial"/>
          <w:bCs/>
          <w:sz w:val="22"/>
          <w:szCs w:val="22"/>
        </w:rPr>
        <w:t>Le rôle de la technologie dans la croissance a donc considérablement évolué.</w:t>
      </w:r>
    </w:p>
    <w:p w14:paraId="46669FFB" w14:textId="77777777" w:rsidR="008B0E46" w:rsidRPr="005A00FE" w:rsidRDefault="005A00FE" w:rsidP="008B0E46">
      <w:pPr>
        <w:numPr>
          <w:ilvl w:val="0"/>
          <w:numId w:val="16"/>
        </w:numPr>
        <w:spacing w:before="360" w:after="240"/>
        <w:ind w:left="709"/>
        <w:jc w:val="both"/>
        <w:rPr>
          <w:rFonts w:ascii="Verdana" w:hAnsi="Verdana"/>
          <w:b/>
          <w:bCs/>
          <w:sz w:val="21"/>
          <w:szCs w:val="20"/>
        </w:rPr>
      </w:pPr>
      <w:r w:rsidRPr="005A00FE">
        <w:rPr>
          <w:rFonts w:ascii="Verdana" w:hAnsi="Verdana"/>
          <w:b/>
          <w:bCs/>
          <w:sz w:val="21"/>
          <w:szCs w:val="20"/>
        </w:rPr>
        <w:t xml:space="preserve">La croissance de court terme : </w:t>
      </w:r>
      <w:r>
        <w:rPr>
          <w:rFonts w:ascii="Verdana" w:hAnsi="Verdana"/>
          <w:b/>
          <w:bCs/>
          <w:sz w:val="21"/>
          <w:szCs w:val="20"/>
        </w:rPr>
        <w:t>variations</w:t>
      </w:r>
      <w:r w:rsidRPr="005A00FE">
        <w:rPr>
          <w:rFonts w:ascii="Verdana" w:hAnsi="Verdana"/>
          <w:b/>
          <w:bCs/>
          <w:sz w:val="21"/>
          <w:szCs w:val="20"/>
        </w:rPr>
        <w:t xml:space="preserve"> de </w:t>
      </w:r>
      <w:r>
        <w:rPr>
          <w:rFonts w:ascii="Verdana" w:hAnsi="Verdana"/>
          <w:b/>
          <w:bCs/>
          <w:sz w:val="21"/>
          <w:szCs w:val="20"/>
        </w:rPr>
        <w:t xml:space="preserve">la </w:t>
      </w:r>
      <w:r w:rsidRPr="005A00FE">
        <w:rPr>
          <w:rFonts w:ascii="Verdana" w:hAnsi="Verdana"/>
          <w:b/>
          <w:bCs/>
          <w:sz w:val="21"/>
          <w:szCs w:val="20"/>
        </w:rPr>
        <w:t>demande</w:t>
      </w:r>
      <w:r>
        <w:rPr>
          <w:rFonts w:ascii="Verdana" w:hAnsi="Verdana"/>
          <w:b/>
          <w:bCs/>
          <w:sz w:val="21"/>
          <w:szCs w:val="20"/>
        </w:rPr>
        <w:t xml:space="preserve"> avec offre fixe</w:t>
      </w:r>
    </w:p>
    <w:p w14:paraId="6A1430BB" w14:textId="77777777" w:rsidR="008B0E46" w:rsidRDefault="008B0E46" w:rsidP="008B0E46">
      <w:pPr>
        <w:spacing w:before="120"/>
        <w:jc w:val="both"/>
        <w:rPr>
          <w:rFonts w:ascii="Arial" w:hAnsi="Arial" w:cs="Arial"/>
          <w:sz w:val="22"/>
          <w:szCs w:val="22"/>
        </w:rPr>
      </w:pPr>
      <w:r w:rsidRPr="00A359E2">
        <w:rPr>
          <w:rFonts w:ascii="Arial" w:hAnsi="Arial" w:cs="Arial"/>
          <w:b/>
          <w:sz w:val="22"/>
          <w:szCs w:val="22"/>
        </w:rPr>
        <w:t>La croissance de court terme</w:t>
      </w:r>
      <w:r>
        <w:rPr>
          <w:rFonts w:ascii="Arial" w:hAnsi="Arial" w:cs="Arial"/>
          <w:sz w:val="22"/>
          <w:szCs w:val="22"/>
        </w:rPr>
        <w:t xml:space="preserve"> a été analysée par les keynésiens et l’approche macroéconomique. La croissance du PIB à court terme dépend de la croissance des différentes composantes de la demande (Consommation, Investissement, Dépenses publiques, Exportations). Dans les pays développés, cette croissance de court terme est souvent inférieure à la croissance maximale qui pourrait être obtenue si les facteurs de production disponibles étaient totalement utilisés (croissance potentielle ou de plein emploi). Cet écart est appelé output gap et, pour les keynésiens, il explique la persistance du chômage par l’insuffisance de la demande effective par rapport à l’offre.</w:t>
      </w:r>
      <w:r w:rsidR="00D57A06">
        <w:rPr>
          <w:rFonts w:ascii="Arial" w:hAnsi="Arial" w:cs="Arial"/>
          <w:sz w:val="22"/>
          <w:szCs w:val="22"/>
        </w:rPr>
        <w:t xml:space="preserve"> </w:t>
      </w:r>
    </w:p>
    <w:p w14:paraId="239E59E4" w14:textId="77777777" w:rsidR="00BD4F96" w:rsidRDefault="00C238D7" w:rsidP="008B0E46">
      <w:pPr>
        <w:spacing w:before="120"/>
        <w:jc w:val="both"/>
        <w:rPr>
          <w:rFonts w:ascii="Arial" w:hAnsi="Arial" w:cs="Arial"/>
          <w:sz w:val="22"/>
          <w:szCs w:val="22"/>
        </w:rPr>
      </w:pPr>
      <w:r>
        <w:rPr>
          <w:rFonts w:ascii="Arial" w:hAnsi="Arial" w:cs="Arial"/>
          <w:sz w:val="22"/>
          <w:szCs w:val="22"/>
        </w:rPr>
        <w:t xml:space="preserve">Le Tableau </w:t>
      </w:r>
      <w:r w:rsidR="008F306A">
        <w:rPr>
          <w:rFonts w:ascii="Arial" w:hAnsi="Arial" w:cs="Arial"/>
          <w:sz w:val="22"/>
          <w:szCs w:val="22"/>
        </w:rPr>
        <w:t>1</w:t>
      </w:r>
      <w:r>
        <w:rPr>
          <w:rFonts w:ascii="Arial" w:hAnsi="Arial" w:cs="Arial"/>
          <w:sz w:val="22"/>
          <w:szCs w:val="22"/>
        </w:rPr>
        <w:t xml:space="preserve"> décrit les différentes composantes expliquant la croissance du PIB en 2011-12-13 pour la France. La somme des contributions est égale au taux de croissance. En 2013, c’est la demande effective des ménages, notamment celle qui est soutenue par l’Etat (Education, culture, santé) qui a soutenu la croissance. La contribution positive des exportations a quasi-intégralement été compensée par les importations. Le désinvestissement a pénalisé la croissance.</w:t>
      </w:r>
    </w:p>
    <w:p w14:paraId="7C07C5D6" w14:textId="77777777" w:rsidR="00C238D7" w:rsidRDefault="00C238D7" w:rsidP="008B0E46">
      <w:pPr>
        <w:spacing w:before="120"/>
        <w:jc w:val="both"/>
        <w:rPr>
          <w:rFonts w:ascii="Arial" w:hAnsi="Arial" w:cs="Arial"/>
          <w:sz w:val="22"/>
          <w:szCs w:val="22"/>
        </w:rPr>
      </w:pPr>
    </w:p>
    <w:p w14:paraId="513DAC29" w14:textId="77777777" w:rsidR="00BD4F96" w:rsidRPr="00BD4F96" w:rsidRDefault="00BD4F96" w:rsidP="008B0E46">
      <w:pPr>
        <w:spacing w:before="120"/>
        <w:jc w:val="both"/>
        <w:rPr>
          <w:rFonts w:ascii="Arial" w:hAnsi="Arial" w:cs="Arial"/>
          <w:b/>
          <w:sz w:val="22"/>
          <w:szCs w:val="22"/>
        </w:rPr>
      </w:pPr>
      <w:r w:rsidRPr="00BD4F96">
        <w:rPr>
          <w:rFonts w:ascii="Arial" w:hAnsi="Arial" w:cs="Arial"/>
          <w:b/>
          <w:sz w:val="22"/>
          <w:szCs w:val="22"/>
        </w:rPr>
        <w:t xml:space="preserve">Tableau </w:t>
      </w:r>
      <w:r w:rsidR="005A00FE">
        <w:rPr>
          <w:rFonts w:ascii="Arial" w:hAnsi="Arial" w:cs="Arial"/>
          <w:b/>
          <w:sz w:val="22"/>
          <w:szCs w:val="22"/>
        </w:rPr>
        <w:t>1</w:t>
      </w:r>
      <w:r w:rsidRPr="00BD4F96">
        <w:rPr>
          <w:rFonts w:ascii="Arial" w:hAnsi="Arial" w:cs="Arial"/>
          <w:b/>
          <w:sz w:val="22"/>
          <w:szCs w:val="22"/>
        </w:rPr>
        <w:t> : Composantes de la croissance du PIB 2011, 2012, 2013 et contributions à la croissance du PIB 2013</w:t>
      </w:r>
    </w:p>
    <w:p w14:paraId="46027FD4" w14:textId="678F05B0" w:rsidR="00BD4F96" w:rsidRDefault="000C7471" w:rsidP="008B0E46">
      <w:pPr>
        <w:spacing w:before="120"/>
        <w:jc w:val="both"/>
        <w:rPr>
          <w:rFonts w:ascii="Arial" w:hAnsi="Arial" w:cs="Arial"/>
          <w:sz w:val="22"/>
          <w:szCs w:val="22"/>
        </w:rPr>
      </w:pPr>
      <w:r w:rsidRPr="00BD4F96">
        <w:rPr>
          <w:rFonts w:ascii="Arial" w:hAnsi="Arial" w:cs="Arial"/>
          <w:noProof/>
          <w:sz w:val="22"/>
          <w:szCs w:val="22"/>
        </w:rPr>
        <w:lastRenderedPageBreak/>
        <w:drawing>
          <wp:inline distT="0" distB="0" distL="0" distR="0" wp14:anchorId="690951C7" wp14:editId="6EC71C21">
            <wp:extent cx="5305425" cy="3731895"/>
            <wp:effectExtent l="0" t="0" r="3175" b="190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05425" cy="3731895"/>
                    </a:xfrm>
                    <a:prstGeom prst="rect">
                      <a:avLst/>
                    </a:prstGeom>
                    <a:noFill/>
                    <a:ln>
                      <a:noFill/>
                    </a:ln>
                  </pic:spPr>
                </pic:pic>
              </a:graphicData>
            </a:graphic>
          </wp:inline>
        </w:drawing>
      </w:r>
    </w:p>
    <w:p w14:paraId="68EEC72C" w14:textId="77777777" w:rsidR="003245C2" w:rsidRDefault="00D57A06" w:rsidP="008B0E46">
      <w:pPr>
        <w:spacing w:before="120"/>
        <w:jc w:val="both"/>
        <w:rPr>
          <w:rFonts w:ascii="Arial" w:hAnsi="Arial" w:cs="Arial"/>
          <w:sz w:val="22"/>
          <w:szCs w:val="22"/>
        </w:rPr>
      </w:pPr>
      <w:r>
        <w:rPr>
          <w:rFonts w:ascii="Arial" w:hAnsi="Arial" w:cs="Arial"/>
          <w:sz w:val="22"/>
          <w:szCs w:val="22"/>
        </w:rPr>
        <w:t xml:space="preserve">La Figure </w:t>
      </w:r>
      <w:r w:rsidR="008F306A">
        <w:rPr>
          <w:rFonts w:ascii="Arial" w:hAnsi="Arial" w:cs="Arial"/>
          <w:sz w:val="22"/>
          <w:szCs w:val="22"/>
        </w:rPr>
        <w:t>1</w:t>
      </w:r>
      <w:r>
        <w:rPr>
          <w:rFonts w:ascii="Arial" w:hAnsi="Arial" w:cs="Arial"/>
          <w:sz w:val="22"/>
          <w:szCs w:val="22"/>
        </w:rPr>
        <w:t xml:space="preserve"> montre la relation entre output gap négatif et évolution du chômage aux Etats-Unis. </w:t>
      </w:r>
      <w:r w:rsidR="00BD4F96">
        <w:rPr>
          <w:rFonts w:ascii="Arial" w:hAnsi="Arial" w:cs="Arial"/>
          <w:sz w:val="22"/>
          <w:szCs w:val="22"/>
        </w:rPr>
        <w:t xml:space="preserve">Le </w:t>
      </w:r>
      <w:r w:rsidR="00BD4F96" w:rsidRPr="00BD4F96">
        <w:rPr>
          <w:rFonts w:ascii="Arial" w:hAnsi="Arial" w:cs="Arial"/>
          <w:b/>
          <w:sz w:val="22"/>
          <w:szCs w:val="22"/>
        </w:rPr>
        <w:t>taux de chômage naturel</w:t>
      </w:r>
      <w:r w:rsidR="00BD4F96">
        <w:rPr>
          <w:rFonts w:ascii="Arial" w:hAnsi="Arial" w:cs="Arial"/>
          <w:sz w:val="22"/>
          <w:szCs w:val="22"/>
        </w:rPr>
        <w:t xml:space="preserve"> (celui qui correspond au taux de croissance potentiel et au plein-emploi des facteurs de production) de l’économie américaine est de 5%. La crise de 2008 a fait plonger la croissance US au-dessous de son potentiel, ce qui a provoqué un doublement du chômage (9,7% de la population active en 2009). </w:t>
      </w:r>
    </w:p>
    <w:p w14:paraId="2B5BD70D" w14:textId="77777777" w:rsidR="008F306A" w:rsidRDefault="008F306A" w:rsidP="008B0E46">
      <w:pPr>
        <w:spacing w:before="120"/>
        <w:jc w:val="both"/>
        <w:rPr>
          <w:rFonts w:ascii="Arial" w:hAnsi="Arial" w:cs="Arial"/>
          <w:b/>
          <w:sz w:val="22"/>
          <w:szCs w:val="22"/>
        </w:rPr>
      </w:pPr>
    </w:p>
    <w:p w14:paraId="7D55CF0F" w14:textId="77777777" w:rsidR="008B0E46" w:rsidRPr="00D57A06" w:rsidRDefault="00D57A06" w:rsidP="008B0E46">
      <w:pPr>
        <w:spacing w:before="120"/>
        <w:jc w:val="both"/>
        <w:rPr>
          <w:rFonts w:ascii="Arial" w:hAnsi="Arial" w:cs="Arial"/>
          <w:b/>
          <w:sz w:val="22"/>
          <w:szCs w:val="22"/>
        </w:rPr>
      </w:pPr>
      <w:r w:rsidRPr="00D57A06">
        <w:rPr>
          <w:rFonts w:ascii="Arial" w:hAnsi="Arial" w:cs="Arial"/>
          <w:b/>
          <w:sz w:val="22"/>
          <w:szCs w:val="22"/>
        </w:rPr>
        <w:t xml:space="preserve">Figure </w:t>
      </w:r>
      <w:r w:rsidR="005A00FE">
        <w:rPr>
          <w:rFonts w:ascii="Arial" w:hAnsi="Arial" w:cs="Arial"/>
          <w:b/>
          <w:sz w:val="22"/>
          <w:szCs w:val="22"/>
        </w:rPr>
        <w:t>1</w:t>
      </w:r>
      <w:r w:rsidRPr="00D57A06">
        <w:rPr>
          <w:rFonts w:ascii="Arial" w:hAnsi="Arial" w:cs="Arial"/>
          <w:b/>
          <w:sz w:val="22"/>
          <w:szCs w:val="22"/>
        </w:rPr>
        <w:t xml:space="preserve">: </w:t>
      </w:r>
      <w:r w:rsidR="008B0E46" w:rsidRPr="00D57A06">
        <w:rPr>
          <w:rFonts w:ascii="Arial" w:hAnsi="Arial" w:cs="Arial"/>
          <w:b/>
          <w:sz w:val="22"/>
          <w:szCs w:val="22"/>
        </w:rPr>
        <w:t xml:space="preserve">Output gap </w:t>
      </w:r>
      <w:r w:rsidR="008E3730" w:rsidRPr="008E3730">
        <w:rPr>
          <w:rFonts w:ascii="Arial" w:hAnsi="Arial" w:cs="Arial"/>
          <w:sz w:val="22"/>
          <w:szCs w:val="22"/>
        </w:rPr>
        <w:t>(</w:t>
      </w:r>
      <w:r w:rsidR="008E3730">
        <w:rPr>
          <w:rFonts w:ascii="Arial" w:hAnsi="Arial" w:cs="Arial"/>
          <w:sz w:val="22"/>
          <w:szCs w:val="22"/>
        </w:rPr>
        <w:t>(</w:t>
      </w:r>
      <w:r w:rsidR="008E3730" w:rsidRPr="008E3730">
        <w:rPr>
          <w:rFonts w:ascii="Arial" w:hAnsi="Arial" w:cs="Arial"/>
          <w:sz w:val="22"/>
          <w:szCs w:val="22"/>
        </w:rPr>
        <w:t>PIB</w:t>
      </w:r>
      <w:r w:rsidR="008E3730" w:rsidRPr="008E3730">
        <w:rPr>
          <w:rFonts w:ascii="Arial" w:hAnsi="Arial" w:cs="Arial"/>
          <w:sz w:val="22"/>
          <w:szCs w:val="22"/>
          <w:vertAlign w:val="subscript"/>
        </w:rPr>
        <w:t>effectif</w:t>
      </w:r>
      <w:r w:rsidR="008E3730">
        <w:rPr>
          <w:rFonts w:ascii="Arial" w:hAnsi="Arial" w:cs="Arial"/>
          <w:sz w:val="22"/>
          <w:szCs w:val="22"/>
        </w:rPr>
        <w:t>-</w:t>
      </w:r>
      <w:r w:rsidR="008E3730" w:rsidRPr="008E3730">
        <w:rPr>
          <w:rFonts w:ascii="Arial" w:hAnsi="Arial" w:cs="Arial"/>
          <w:sz w:val="22"/>
          <w:szCs w:val="22"/>
        </w:rPr>
        <w:t>PIB</w:t>
      </w:r>
      <w:r w:rsidR="008E3730" w:rsidRPr="008E3730">
        <w:rPr>
          <w:rFonts w:ascii="Arial" w:hAnsi="Arial" w:cs="Arial"/>
          <w:sz w:val="22"/>
          <w:szCs w:val="22"/>
          <w:vertAlign w:val="subscript"/>
        </w:rPr>
        <w:t>potentiel</w:t>
      </w:r>
      <w:r w:rsidR="008E3730">
        <w:rPr>
          <w:rFonts w:ascii="Arial" w:hAnsi="Arial" w:cs="Arial"/>
          <w:sz w:val="22"/>
          <w:szCs w:val="22"/>
        </w:rPr>
        <w:t>)/</w:t>
      </w:r>
      <w:r w:rsidR="008E3730" w:rsidRPr="008E3730">
        <w:rPr>
          <w:rFonts w:ascii="Arial" w:hAnsi="Arial" w:cs="Arial"/>
          <w:sz w:val="22"/>
          <w:szCs w:val="22"/>
        </w:rPr>
        <w:t>PIB</w:t>
      </w:r>
      <w:r w:rsidR="008E3730" w:rsidRPr="008E3730">
        <w:rPr>
          <w:rFonts w:ascii="Arial" w:hAnsi="Arial" w:cs="Arial"/>
          <w:sz w:val="22"/>
          <w:szCs w:val="22"/>
          <w:vertAlign w:val="subscript"/>
        </w:rPr>
        <w:t>potentiel</w:t>
      </w:r>
      <w:r w:rsidR="008E3730" w:rsidRPr="008E3730">
        <w:rPr>
          <w:rFonts w:ascii="Arial" w:hAnsi="Arial" w:cs="Arial"/>
          <w:sz w:val="22"/>
          <w:szCs w:val="22"/>
        </w:rPr>
        <w:t xml:space="preserve">) </w:t>
      </w:r>
      <w:r w:rsidR="008B0E46" w:rsidRPr="00D57A06">
        <w:rPr>
          <w:rFonts w:ascii="Arial" w:hAnsi="Arial" w:cs="Arial"/>
          <w:b/>
          <w:sz w:val="22"/>
          <w:szCs w:val="22"/>
        </w:rPr>
        <w:t>et chômage</w:t>
      </w:r>
      <w:r w:rsidRPr="00D57A06">
        <w:rPr>
          <w:rFonts w:ascii="Arial" w:hAnsi="Arial" w:cs="Arial"/>
          <w:b/>
          <w:sz w:val="22"/>
          <w:szCs w:val="22"/>
        </w:rPr>
        <w:t xml:space="preserve"> aux Etats-Unis</w:t>
      </w:r>
      <w:r w:rsidR="008B0E46" w:rsidRPr="00D57A06">
        <w:rPr>
          <w:rFonts w:ascii="Arial" w:hAnsi="Arial" w:cs="Arial"/>
          <w:b/>
          <w:sz w:val="22"/>
          <w:szCs w:val="22"/>
        </w:rPr>
        <w:t xml:space="preserve"> (Source : Ezra Klein, Washington Past, 2011)</w:t>
      </w:r>
    </w:p>
    <w:p w14:paraId="5FF55B46" w14:textId="77777777" w:rsidR="008B0E46" w:rsidRDefault="008B0E46" w:rsidP="008B0E46">
      <w:pPr>
        <w:spacing w:before="120"/>
        <w:jc w:val="both"/>
        <w:rPr>
          <w:rFonts w:ascii="Arial" w:hAnsi="Arial" w:cs="Arial"/>
          <w:sz w:val="22"/>
          <w:szCs w:val="22"/>
        </w:rPr>
      </w:pPr>
    </w:p>
    <w:p w14:paraId="62BB6AC3" w14:textId="7EFE85B9" w:rsidR="008B0E46" w:rsidRDefault="000C7471" w:rsidP="008B0E46">
      <w:pPr>
        <w:spacing w:before="120"/>
        <w:jc w:val="both"/>
        <w:rPr>
          <w:rFonts w:ascii="Arial" w:hAnsi="Arial" w:cs="Arial"/>
          <w:sz w:val="22"/>
          <w:szCs w:val="22"/>
        </w:rPr>
      </w:pPr>
      <w:r w:rsidRPr="005D55F1">
        <w:rPr>
          <w:rFonts w:ascii="Arial" w:hAnsi="Arial" w:cs="Arial"/>
          <w:noProof/>
          <w:sz w:val="22"/>
          <w:szCs w:val="22"/>
        </w:rPr>
        <w:drawing>
          <wp:inline distT="0" distB="0" distL="0" distR="0" wp14:anchorId="25934185" wp14:editId="4B971B48">
            <wp:extent cx="4678045" cy="2924175"/>
            <wp:effectExtent l="0" t="0" r="0" b="0"/>
            <wp:docPr id="9"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78045" cy="2924175"/>
                    </a:xfrm>
                    <a:prstGeom prst="rect">
                      <a:avLst/>
                    </a:prstGeom>
                    <a:noFill/>
                    <a:ln>
                      <a:noFill/>
                    </a:ln>
                  </pic:spPr>
                </pic:pic>
              </a:graphicData>
            </a:graphic>
          </wp:inline>
        </w:drawing>
      </w:r>
    </w:p>
    <w:p w14:paraId="4AFBAEFA" w14:textId="77777777" w:rsidR="003245C2" w:rsidRDefault="003245C2" w:rsidP="003245C2">
      <w:pPr>
        <w:spacing w:before="120"/>
        <w:jc w:val="both"/>
        <w:rPr>
          <w:rFonts w:ascii="Arial" w:hAnsi="Arial" w:cs="Arial"/>
          <w:sz w:val="22"/>
          <w:szCs w:val="22"/>
        </w:rPr>
      </w:pPr>
      <w:r>
        <w:rPr>
          <w:rFonts w:ascii="Arial" w:hAnsi="Arial" w:cs="Arial"/>
          <w:sz w:val="22"/>
          <w:szCs w:val="22"/>
        </w:rPr>
        <w:t xml:space="preserve">Ezra Klein projette les effets de trois scénarios possibles de reprise après la crise sur le chômage. Une croissance du PIB de 5% par an à partir de 2010 aurait ramené le chômage à </w:t>
      </w:r>
      <w:r>
        <w:rPr>
          <w:rFonts w:ascii="Arial" w:hAnsi="Arial" w:cs="Arial"/>
          <w:sz w:val="22"/>
          <w:szCs w:val="22"/>
        </w:rPr>
        <w:lastRenderedPageBreak/>
        <w:t>5% en 2012, une croissance de 3% ramènerait le chômage à 5% en 2020, et une croissance de 2% ne parviendrait pas à empêcher une augmentation du chômage. On est assez proche des taux de croissance (2,5%) qui est supposé nécessaire pour faire baisser le chômage en France.</w:t>
      </w:r>
    </w:p>
    <w:p w14:paraId="34749B7E" w14:textId="77777777" w:rsidR="008F306A" w:rsidRDefault="008B0E46" w:rsidP="008B0E46">
      <w:pPr>
        <w:spacing w:before="120"/>
        <w:jc w:val="both"/>
        <w:rPr>
          <w:rFonts w:ascii="Arial" w:hAnsi="Arial" w:cs="Arial"/>
          <w:sz w:val="22"/>
          <w:szCs w:val="22"/>
        </w:rPr>
      </w:pPr>
      <w:r>
        <w:rPr>
          <w:rFonts w:ascii="Arial" w:hAnsi="Arial" w:cs="Arial"/>
          <w:sz w:val="22"/>
          <w:szCs w:val="22"/>
        </w:rPr>
        <w:t xml:space="preserve">Dans ce contexte d’output gap </w:t>
      </w:r>
      <w:r w:rsidR="00AD5B0D">
        <w:rPr>
          <w:rFonts w:ascii="Arial" w:hAnsi="Arial" w:cs="Arial"/>
          <w:sz w:val="22"/>
          <w:szCs w:val="22"/>
        </w:rPr>
        <w:t>négatif</w:t>
      </w:r>
      <w:r w:rsidR="00BD4F96">
        <w:rPr>
          <w:rFonts w:ascii="Arial" w:hAnsi="Arial" w:cs="Arial"/>
          <w:sz w:val="22"/>
          <w:szCs w:val="22"/>
        </w:rPr>
        <w:t xml:space="preserve"> </w:t>
      </w:r>
      <w:r>
        <w:rPr>
          <w:rFonts w:ascii="Arial" w:hAnsi="Arial" w:cs="Arial"/>
          <w:sz w:val="22"/>
          <w:szCs w:val="22"/>
        </w:rPr>
        <w:t>non nul, la croissance effective peut être stimulée par les politiques qui augmentent la demande : augmentation des dépenses publiques, stimulation de l’investissement par la baisse des taux d’intérêt provoquée par la politique monétaire, dévaluation de la monnaie nationale qui augmente la compétitivité des exportations.</w:t>
      </w:r>
    </w:p>
    <w:p w14:paraId="787DEF1C" w14:textId="77777777" w:rsidR="008F306A" w:rsidRDefault="008F306A" w:rsidP="008B0E46">
      <w:pPr>
        <w:spacing w:before="120"/>
        <w:jc w:val="both"/>
        <w:rPr>
          <w:rFonts w:ascii="Arial" w:hAnsi="Arial" w:cs="Arial"/>
          <w:sz w:val="22"/>
          <w:szCs w:val="22"/>
        </w:rPr>
      </w:pPr>
    </w:p>
    <w:p w14:paraId="124B0A2C" w14:textId="77777777" w:rsidR="005A00FE" w:rsidRDefault="005A00FE" w:rsidP="005A00FE">
      <w:pPr>
        <w:numPr>
          <w:ilvl w:val="0"/>
          <w:numId w:val="34"/>
        </w:numPr>
        <w:spacing w:before="120"/>
        <w:ind w:left="426" w:hanging="426"/>
        <w:jc w:val="both"/>
        <w:rPr>
          <w:rFonts w:ascii="Arial" w:hAnsi="Arial" w:cs="Arial"/>
          <w:b/>
          <w:sz w:val="22"/>
          <w:szCs w:val="22"/>
        </w:rPr>
      </w:pPr>
      <w:r>
        <w:rPr>
          <w:rFonts w:ascii="Arial" w:hAnsi="Arial" w:cs="Arial"/>
          <w:b/>
          <w:sz w:val="22"/>
          <w:szCs w:val="22"/>
        </w:rPr>
        <w:t>Croissance de long terme</w:t>
      </w:r>
      <w:r w:rsidR="008F306A">
        <w:rPr>
          <w:rFonts w:ascii="Arial" w:hAnsi="Arial" w:cs="Arial"/>
          <w:b/>
          <w:sz w:val="22"/>
          <w:szCs w:val="22"/>
        </w:rPr>
        <w:t> : Accumulation factorielle ou gains de productivité ?</w:t>
      </w:r>
    </w:p>
    <w:p w14:paraId="63D1FD58" w14:textId="77777777" w:rsidR="008F306A" w:rsidRDefault="008F306A" w:rsidP="008B0E46">
      <w:pPr>
        <w:spacing w:before="120"/>
        <w:jc w:val="both"/>
        <w:rPr>
          <w:rFonts w:ascii="Arial" w:hAnsi="Arial" w:cs="Arial"/>
          <w:b/>
          <w:sz w:val="22"/>
          <w:szCs w:val="22"/>
        </w:rPr>
      </w:pPr>
    </w:p>
    <w:p w14:paraId="09F0FE20" w14:textId="77777777" w:rsidR="008B0E46" w:rsidRPr="00DD41BA" w:rsidRDefault="008B0E46" w:rsidP="008B0E46">
      <w:pPr>
        <w:spacing w:before="120"/>
        <w:jc w:val="both"/>
        <w:rPr>
          <w:rFonts w:ascii="Arial" w:hAnsi="Arial" w:cs="Arial"/>
          <w:sz w:val="22"/>
          <w:szCs w:val="22"/>
        </w:rPr>
      </w:pPr>
      <w:r w:rsidRPr="00A359E2">
        <w:rPr>
          <w:rFonts w:ascii="Arial" w:hAnsi="Arial" w:cs="Arial"/>
          <w:b/>
          <w:sz w:val="22"/>
          <w:szCs w:val="22"/>
        </w:rPr>
        <w:t>A long terme</w:t>
      </w:r>
      <w:r w:rsidRPr="00B33B91">
        <w:rPr>
          <w:rFonts w:ascii="Arial" w:hAnsi="Arial" w:cs="Arial"/>
          <w:sz w:val="22"/>
          <w:szCs w:val="22"/>
        </w:rPr>
        <w:t xml:space="preserve">, </w:t>
      </w:r>
      <w:r w:rsidR="00B33B91" w:rsidRPr="00B33B91">
        <w:rPr>
          <w:rFonts w:ascii="Arial" w:hAnsi="Arial" w:cs="Arial"/>
          <w:sz w:val="22"/>
          <w:szCs w:val="22"/>
        </w:rPr>
        <w:t>on suppose que l’économie parvient à régler ses problèmes de demande de court terme et qu’elle atteint sa croissance potentielle de plein emploi des facteurs.</w:t>
      </w:r>
      <w:r w:rsidR="00B33B91">
        <w:rPr>
          <w:rFonts w:ascii="Arial" w:hAnsi="Arial" w:cs="Arial"/>
          <w:b/>
          <w:sz w:val="22"/>
          <w:szCs w:val="22"/>
        </w:rPr>
        <w:t xml:space="preserve"> L</w:t>
      </w:r>
      <w:r w:rsidRPr="00A359E2">
        <w:rPr>
          <w:rFonts w:ascii="Arial" w:hAnsi="Arial" w:cs="Arial"/>
          <w:b/>
          <w:sz w:val="22"/>
          <w:szCs w:val="22"/>
        </w:rPr>
        <w:t xml:space="preserve">a croissance du PIB </w:t>
      </w:r>
      <w:r w:rsidR="00B33B91">
        <w:rPr>
          <w:rFonts w:ascii="Arial" w:hAnsi="Arial" w:cs="Arial"/>
          <w:b/>
          <w:sz w:val="22"/>
          <w:szCs w:val="22"/>
        </w:rPr>
        <w:t>de long terme</w:t>
      </w:r>
      <w:r w:rsidR="00B33B91">
        <w:rPr>
          <w:rFonts w:ascii="Arial" w:hAnsi="Arial" w:cs="Arial"/>
          <w:sz w:val="22"/>
          <w:szCs w:val="22"/>
        </w:rPr>
        <w:t xml:space="preserve">, </w:t>
      </w:r>
      <w:r w:rsidR="00B33B91" w:rsidRPr="00B33B91">
        <w:rPr>
          <w:rFonts w:ascii="Arial" w:hAnsi="Arial" w:cs="Arial"/>
          <w:b/>
          <w:sz w:val="22"/>
          <w:szCs w:val="22"/>
        </w:rPr>
        <w:t>ou croissance potentielle</w:t>
      </w:r>
      <w:r w:rsidR="00B33B91">
        <w:rPr>
          <w:rFonts w:ascii="Arial" w:hAnsi="Arial" w:cs="Arial"/>
          <w:sz w:val="22"/>
          <w:szCs w:val="22"/>
        </w:rPr>
        <w:t xml:space="preserve">, </w:t>
      </w:r>
      <w:r w:rsidRPr="00DD41BA">
        <w:rPr>
          <w:rFonts w:ascii="Arial" w:hAnsi="Arial" w:cs="Arial"/>
          <w:sz w:val="22"/>
          <w:szCs w:val="22"/>
        </w:rPr>
        <w:t>est alimentée par l’accumulation des fac</w:t>
      </w:r>
      <w:r w:rsidR="00B33B91">
        <w:rPr>
          <w:rFonts w:ascii="Arial" w:hAnsi="Arial" w:cs="Arial"/>
          <w:sz w:val="22"/>
          <w:szCs w:val="22"/>
        </w:rPr>
        <w:t xml:space="preserve">teurs de production (capital physique, </w:t>
      </w:r>
      <w:r w:rsidRPr="00DD41BA">
        <w:rPr>
          <w:rFonts w:ascii="Arial" w:hAnsi="Arial" w:cs="Arial"/>
          <w:sz w:val="22"/>
          <w:szCs w:val="22"/>
        </w:rPr>
        <w:t>travail</w:t>
      </w:r>
      <w:r w:rsidR="00B33B91">
        <w:rPr>
          <w:rFonts w:ascii="Arial" w:hAnsi="Arial" w:cs="Arial"/>
          <w:sz w:val="22"/>
          <w:szCs w:val="22"/>
        </w:rPr>
        <w:t xml:space="preserve"> et capital humain</w:t>
      </w:r>
      <w:r w:rsidRPr="00DD41BA">
        <w:rPr>
          <w:rFonts w:ascii="Arial" w:hAnsi="Arial" w:cs="Arial"/>
          <w:sz w:val="22"/>
          <w:szCs w:val="22"/>
        </w:rPr>
        <w:t xml:space="preserve">) et par les </w:t>
      </w:r>
      <w:r w:rsidR="00B33B91">
        <w:rPr>
          <w:rFonts w:ascii="Arial" w:hAnsi="Arial" w:cs="Arial"/>
          <w:sz w:val="22"/>
          <w:szCs w:val="22"/>
        </w:rPr>
        <w:t>progrès technologique et organisationnels</w:t>
      </w:r>
      <w:r w:rsidRPr="00DD41BA">
        <w:rPr>
          <w:rFonts w:ascii="Arial" w:hAnsi="Arial" w:cs="Arial"/>
          <w:sz w:val="22"/>
          <w:szCs w:val="22"/>
        </w:rPr>
        <w:t xml:space="preserve">. </w:t>
      </w:r>
      <w:r w:rsidR="00B33B91">
        <w:rPr>
          <w:rFonts w:ascii="Arial" w:hAnsi="Arial" w:cs="Arial"/>
          <w:sz w:val="22"/>
          <w:szCs w:val="22"/>
        </w:rPr>
        <w:t xml:space="preserve">Dans les pays développés, </w:t>
      </w:r>
      <w:r w:rsidR="00B33B91" w:rsidRPr="00DD41BA">
        <w:rPr>
          <w:rFonts w:ascii="Arial" w:hAnsi="Arial" w:cs="Arial"/>
          <w:sz w:val="22"/>
          <w:szCs w:val="22"/>
        </w:rPr>
        <w:t xml:space="preserve">les </w:t>
      </w:r>
      <w:r w:rsidR="00B33B91">
        <w:rPr>
          <w:rFonts w:ascii="Arial" w:hAnsi="Arial" w:cs="Arial"/>
          <w:sz w:val="22"/>
          <w:szCs w:val="22"/>
        </w:rPr>
        <w:t>progrès technologique et organisationnels</w:t>
      </w:r>
      <w:r w:rsidRPr="00DD41BA">
        <w:rPr>
          <w:rFonts w:ascii="Arial" w:hAnsi="Arial" w:cs="Arial"/>
          <w:sz w:val="22"/>
          <w:szCs w:val="22"/>
        </w:rPr>
        <w:t xml:space="preserve"> sont généralement responsables de </w:t>
      </w:r>
      <w:r w:rsidR="00B33B91">
        <w:rPr>
          <w:rFonts w:ascii="Arial" w:hAnsi="Arial" w:cs="Arial"/>
          <w:sz w:val="22"/>
          <w:szCs w:val="22"/>
        </w:rPr>
        <w:t xml:space="preserve">plus de </w:t>
      </w:r>
      <w:r w:rsidRPr="00DD41BA">
        <w:rPr>
          <w:rFonts w:ascii="Arial" w:hAnsi="Arial" w:cs="Arial"/>
          <w:sz w:val="22"/>
          <w:szCs w:val="22"/>
        </w:rPr>
        <w:t xml:space="preserve">la moitié de la croissance du PIB (Carré, Dubois et Malinvaud (1972) sur la France) et sont alimentés par les changements technologiques et organisationnels de la production et par les effets d’apprentissage. </w:t>
      </w:r>
      <w:r w:rsidR="00B33B91">
        <w:rPr>
          <w:rFonts w:ascii="Arial" w:hAnsi="Arial" w:cs="Arial"/>
          <w:sz w:val="22"/>
          <w:szCs w:val="22"/>
        </w:rPr>
        <w:t xml:space="preserve">On mesure cette part intensive de la croissance par la productivité globale des facteurs (PGF). </w:t>
      </w:r>
      <w:r w:rsidRPr="00DD41BA">
        <w:rPr>
          <w:rFonts w:ascii="Arial" w:hAnsi="Arial" w:cs="Arial"/>
          <w:sz w:val="22"/>
          <w:szCs w:val="22"/>
        </w:rPr>
        <w:t xml:space="preserve">Ainsi, la PGF, c'est-à-dire, l’accroissement de la richesse produite qui n’est pas directement liée à l’augmentation du volume des facteurs de production, </w:t>
      </w:r>
      <w:r w:rsidR="00675DFB">
        <w:rPr>
          <w:rFonts w:ascii="Arial" w:hAnsi="Arial" w:cs="Arial"/>
          <w:sz w:val="22"/>
          <w:szCs w:val="22"/>
        </w:rPr>
        <w:t>est un mécanisme</w:t>
      </w:r>
      <w:r w:rsidRPr="00DD41BA">
        <w:rPr>
          <w:rFonts w:ascii="Arial" w:hAnsi="Arial" w:cs="Arial"/>
          <w:sz w:val="22"/>
          <w:szCs w:val="22"/>
        </w:rPr>
        <w:t xml:space="preserve"> essentiel dans les processus de croissance</w:t>
      </w:r>
      <w:r w:rsidR="00675DFB">
        <w:rPr>
          <w:rFonts w:ascii="Arial" w:hAnsi="Arial" w:cs="Arial"/>
          <w:sz w:val="22"/>
          <w:szCs w:val="22"/>
        </w:rPr>
        <w:t xml:space="preserve"> des économies développées</w:t>
      </w:r>
      <w:r w:rsidRPr="00DD41BA">
        <w:rPr>
          <w:rFonts w:ascii="Arial" w:hAnsi="Arial" w:cs="Arial"/>
          <w:sz w:val="22"/>
          <w:szCs w:val="22"/>
        </w:rPr>
        <w:t>. On parle alors de croissance intensive</w:t>
      </w:r>
      <w:r w:rsidR="00675DFB">
        <w:rPr>
          <w:rFonts w:ascii="Arial" w:hAnsi="Arial" w:cs="Arial"/>
          <w:sz w:val="22"/>
          <w:szCs w:val="22"/>
        </w:rPr>
        <w:t xml:space="preserve"> car les facteurs de production sont de plus en plus efficaces, et notamment le travail dont la productivité dépend du rythme de progression de la PGF</w:t>
      </w:r>
      <w:r w:rsidRPr="00DD41BA">
        <w:rPr>
          <w:rFonts w:ascii="Arial" w:hAnsi="Arial" w:cs="Arial"/>
          <w:sz w:val="22"/>
          <w:szCs w:val="22"/>
        </w:rPr>
        <w:t>.</w:t>
      </w:r>
    </w:p>
    <w:p w14:paraId="7D51CD57" w14:textId="77777777" w:rsidR="007E6B07" w:rsidRDefault="00675DFB" w:rsidP="008B0E46">
      <w:pPr>
        <w:spacing w:before="120"/>
        <w:jc w:val="both"/>
        <w:rPr>
          <w:rFonts w:ascii="Arial" w:hAnsi="Arial" w:cs="Arial"/>
          <w:sz w:val="22"/>
          <w:szCs w:val="22"/>
        </w:rPr>
      </w:pPr>
      <w:r>
        <w:rPr>
          <w:rFonts w:ascii="Arial" w:hAnsi="Arial" w:cs="Arial"/>
          <w:b/>
          <w:bCs/>
          <w:sz w:val="22"/>
          <w:szCs w:val="22"/>
        </w:rPr>
        <w:t xml:space="preserve">La </w:t>
      </w:r>
      <w:r w:rsidR="007E6B07">
        <w:rPr>
          <w:rFonts w:ascii="Arial" w:hAnsi="Arial" w:cs="Arial"/>
          <w:b/>
          <w:bCs/>
          <w:sz w:val="22"/>
          <w:szCs w:val="22"/>
        </w:rPr>
        <w:t xml:space="preserve">croissance de la </w:t>
      </w:r>
      <w:r>
        <w:rPr>
          <w:rFonts w:ascii="Arial" w:hAnsi="Arial" w:cs="Arial"/>
          <w:b/>
          <w:bCs/>
          <w:sz w:val="22"/>
          <w:szCs w:val="22"/>
        </w:rPr>
        <w:t>production par tête</w:t>
      </w:r>
      <w:r w:rsidR="007E6B07">
        <w:rPr>
          <w:rFonts w:ascii="Arial" w:hAnsi="Arial" w:cs="Arial"/>
          <w:bCs/>
          <w:sz w:val="22"/>
          <w:szCs w:val="22"/>
        </w:rPr>
        <w:t xml:space="preserve"> </w:t>
      </w:r>
      <w:r w:rsidR="00B33B91">
        <w:rPr>
          <w:rFonts w:ascii="Arial" w:hAnsi="Arial" w:cs="Arial"/>
          <w:bCs/>
          <w:sz w:val="22"/>
          <w:szCs w:val="22"/>
        </w:rPr>
        <w:t xml:space="preserve">potentielle, c’est-à-dire le niveau maximum de croissance que l’on peut atteindre, </w:t>
      </w:r>
      <w:r w:rsidR="00B33B91">
        <w:rPr>
          <w:rFonts w:ascii="Arial" w:hAnsi="Arial" w:cs="Arial"/>
          <w:sz w:val="22"/>
          <w:szCs w:val="22"/>
        </w:rPr>
        <w:t>dépend de :</w:t>
      </w:r>
    </w:p>
    <w:p w14:paraId="463F79E4" w14:textId="77777777" w:rsidR="00B33B91" w:rsidRDefault="00B33B91" w:rsidP="00B33B91">
      <w:pPr>
        <w:numPr>
          <w:ilvl w:val="0"/>
          <w:numId w:val="32"/>
        </w:numPr>
        <w:spacing w:before="120"/>
        <w:jc w:val="both"/>
        <w:rPr>
          <w:rFonts w:ascii="Arial" w:hAnsi="Arial" w:cs="Arial"/>
          <w:sz w:val="22"/>
          <w:szCs w:val="22"/>
        </w:rPr>
      </w:pPr>
      <w:r>
        <w:rPr>
          <w:rFonts w:ascii="Arial" w:hAnsi="Arial" w:cs="Arial"/>
          <w:sz w:val="22"/>
          <w:szCs w:val="22"/>
        </w:rPr>
        <w:t>La croissance de la quantité de travail</w:t>
      </w:r>
    </w:p>
    <w:p w14:paraId="0C340044" w14:textId="77777777" w:rsidR="00B33B91" w:rsidRDefault="00B33B91" w:rsidP="00B33B91">
      <w:pPr>
        <w:numPr>
          <w:ilvl w:val="0"/>
          <w:numId w:val="32"/>
        </w:numPr>
        <w:spacing w:before="120"/>
        <w:jc w:val="both"/>
        <w:rPr>
          <w:rFonts w:ascii="Arial" w:hAnsi="Arial" w:cs="Arial"/>
          <w:sz w:val="22"/>
          <w:szCs w:val="22"/>
        </w:rPr>
      </w:pPr>
      <w:r>
        <w:rPr>
          <w:rFonts w:ascii="Arial" w:hAnsi="Arial" w:cs="Arial"/>
          <w:sz w:val="22"/>
          <w:szCs w:val="22"/>
        </w:rPr>
        <w:t>La croissance de la quantité de capital humain par travailleur</w:t>
      </w:r>
    </w:p>
    <w:p w14:paraId="41FADB6A" w14:textId="77777777" w:rsidR="00B33B91" w:rsidRDefault="00B33B91" w:rsidP="00B33B91">
      <w:pPr>
        <w:numPr>
          <w:ilvl w:val="0"/>
          <w:numId w:val="32"/>
        </w:numPr>
        <w:spacing w:before="120"/>
        <w:jc w:val="both"/>
        <w:rPr>
          <w:rFonts w:ascii="Arial" w:hAnsi="Arial" w:cs="Arial"/>
          <w:sz w:val="22"/>
          <w:szCs w:val="22"/>
        </w:rPr>
      </w:pPr>
      <w:r>
        <w:rPr>
          <w:rFonts w:ascii="Arial" w:hAnsi="Arial" w:cs="Arial"/>
          <w:sz w:val="22"/>
          <w:szCs w:val="22"/>
        </w:rPr>
        <w:t>La croissance de la quantité de capital par travailleur</w:t>
      </w:r>
    </w:p>
    <w:p w14:paraId="4FC03983" w14:textId="77777777" w:rsidR="00B33B91" w:rsidRDefault="00B33B91" w:rsidP="00B33B91">
      <w:pPr>
        <w:numPr>
          <w:ilvl w:val="0"/>
          <w:numId w:val="32"/>
        </w:numPr>
        <w:spacing w:before="120"/>
        <w:jc w:val="both"/>
        <w:rPr>
          <w:rFonts w:ascii="Arial" w:hAnsi="Arial" w:cs="Arial"/>
          <w:sz w:val="22"/>
          <w:szCs w:val="22"/>
        </w:rPr>
      </w:pPr>
      <w:r>
        <w:rPr>
          <w:rFonts w:ascii="Arial" w:hAnsi="Arial" w:cs="Arial"/>
          <w:sz w:val="22"/>
          <w:szCs w:val="22"/>
        </w:rPr>
        <w:t>La croissance de la productivité globale des facteurs (PGF) qui mesure le progrès technologique</w:t>
      </w:r>
    </w:p>
    <w:p w14:paraId="1C6B45C9" w14:textId="77777777" w:rsidR="00B33B91" w:rsidRDefault="008B0E46" w:rsidP="008B0E46">
      <w:pPr>
        <w:spacing w:before="120"/>
        <w:jc w:val="both"/>
        <w:rPr>
          <w:rFonts w:ascii="Arial" w:hAnsi="Arial" w:cs="Arial"/>
          <w:sz w:val="22"/>
          <w:szCs w:val="22"/>
        </w:rPr>
      </w:pPr>
      <w:r w:rsidRPr="00B33B91">
        <w:rPr>
          <w:rFonts w:ascii="Arial" w:hAnsi="Arial" w:cs="Arial"/>
          <w:sz w:val="22"/>
          <w:szCs w:val="22"/>
        </w:rPr>
        <w:t>∆</w:t>
      </w:r>
      <w:r w:rsidR="00675DFB" w:rsidRPr="00B33B91">
        <w:rPr>
          <w:rFonts w:ascii="Arial" w:hAnsi="Arial" w:cs="Arial"/>
          <w:sz w:val="22"/>
          <w:szCs w:val="22"/>
        </w:rPr>
        <w:t>Production par tête</w:t>
      </w:r>
      <w:r w:rsidRPr="00B33B91">
        <w:rPr>
          <w:rFonts w:ascii="Arial" w:hAnsi="Arial" w:cs="Arial"/>
          <w:sz w:val="22"/>
          <w:szCs w:val="22"/>
        </w:rPr>
        <w:t xml:space="preserve"> = ∆K/L + ∆PGF + ∆</w:t>
      </w:r>
      <w:r w:rsidR="00D75195">
        <w:rPr>
          <w:rFonts w:ascii="Arial" w:hAnsi="Arial" w:cs="Arial"/>
          <w:sz w:val="22"/>
          <w:szCs w:val="22"/>
        </w:rPr>
        <w:t>D</w:t>
      </w:r>
      <w:r w:rsidRPr="00B33B91">
        <w:rPr>
          <w:rFonts w:ascii="Arial" w:hAnsi="Arial" w:cs="Arial"/>
          <w:sz w:val="22"/>
          <w:szCs w:val="22"/>
        </w:rPr>
        <w:t>urée du travail</w:t>
      </w:r>
      <w:r w:rsidR="00B33B91" w:rsidRPr="00B33B91">
        <w:rPr>
          <w:rFonts w:ascii="Arial" w:hAnsi="Arial" w:cs="Arial"/>
          <w:sz w:val="22"/>
          <w:szCs w:val="22"/>
        </w:rPr>
        <w:t xml:space="preserve"> et du taux d’activité + ∆</w:t>
      </w:r>
      <w:r w:rsidR="00D75195">
        <w:rPr>
          <w:rFonts w:ascii="Arial" w:hAnsi="Arial" w:cs="Arial"/>
          <w:sz w:val="22"/>
          <w:szCs w:val="22"/>
        </w:rPr>
        <w:t>E</w:t>
      </w:r>
      <w:r w:rsidR="00B33B91">
        <w:rPr>
          <w:rFonts w:ascii="Arial" w:hAnsi="Arial" w:cs="Arial"/>
          <w:sz w:val="22"/>
          <w:szCs w:val="22"/>
        </w:rPr>
        <w:t>ducation des travailleurs</w:t>
      </w:r>
      <w:r w:rsidR="003245C2">
        <w:rPr>
          <w:rFonts w:ascii="Arial" w:hAnsi="Arial" w:cs="Arial"/>
          <w:sz w:val="22"/>
          <w:szCs w:val="22"/>
        </w:rPr>
        <w:t xml:space="preserve">. </w:t>
      </w:r>
    </w:p>
    <w:p w14:paraId="5A60F8C6" w14:textId="77777777" w:rsidR="00E26479" w:rsidRPr="00B33B91" w:rsidRDefault="008B0E46" w:rsidP="008B0E46">
      <w:pPr>
        <w:spacing w:before="120"/>
        <w:jc w:val="both"/>
        <w:rPr>
          <w:rFonts w:ascii="Arial" w:hAnsi="Arial" w:cs="Arial"/>
          <w:sz w:val="22"/>
          <w:szCs w:val="22"/>
        </w:rPr>
      </w:pPr>
      <w:r w:rsidRPr="00DD41BA">
        <w:rPr>
          <w:rFonts w:ascii="Arial" w:hAnsi="Arial" w:cs="Arial"/>
          <w:sz w:val="22"/>
          <w:szCs w:val="22"/>
        </w:rPr>
        <w:t xml:space="preserve">Une étude récente de l’INSEE montrait que </w:t>
      </w:r>
      <w:r w:rsidR="00675DFB">
        <w:rPr>
          <w:rFonts w:ascii="Arial" w:hAnsi="Arial" w:cs="Arial"/>
          <w:sz w:val="22"/>
          <w:szCs w:val="22"/>
        </w:rPr>
        <w:t>la</w:t>
      </w:r>
      <w:r w:rsidRPr="00DD41BA">
        <w:rPr>
          <w:rFonts w:ascii="Arial" w:hAnsi="Arial" w:cs="Arial"/>
          <w:sz w:val="22"/>
          <w:szCs w:val="22"/>
        </w:rPr>
        <w:t xml:space="preserve"> productivité du travail </w:t>
      </w:r>
      <w:r w:rsidR="00D75195">
        <w:rPr>
          <w:rFonts w:ascii="Arial" w:hAnsi="Arial" w:cs="Arial"/>
          <w:sz w:val="22"/>
          <w:szCs w:val="22"/>
        </w:rPr>
        <w:t xml:space="preserve">en France </w:t>
      </w:r>
      <w:r w:rsidRPr="00DD41BA">
        <w:rPr>
          <w:rFonts w:ascii="Arial" w:hAnsi="Arial" w:cs="Arial"/>
          <w:sz w:val="22"/>
          <w:szCs w:val="22"/>
        </w:rPr>
        <w:t>a été multipliée par 2,2 de 1975 à 2008, soit une progression aussi rapide que celle du coût de l’heure de travail</w:t>
      </w:r>
      <w:r w:rsidR="00D75195">
        <w:rPr>
          <w:rFonts w:ascii="Arial" w:hAnsi="Arial" w:cs="Arial"/>
          <w:sz w:val="22"/>
          <w:szCs w:val="22"/>
        </w:rPr>
        <w:t xml:space="preserve"> sur la même période</w:t>
      </w:r>
      <w:r w:rsidRPr="00DD41BA">
        <w:rPr>
          <w:rFonts w:ascii="Arial" w:hAnsi="Arial" w:cs="Arial"/>
          <w:sz w:val="22"/>
          <w:szCs w:val="22"/>
        </w:rPr>
        <w:t>.</w:t>
      </w:r>
    </w:p>
    <w:p w14:paraId="5534AC14" w14:textId="77777777" w:rsidR="00E26479" w:rsidRDefault="00E26479" w:rsidP="00E26479">
      <w:pPr>
        <w:spacing w:before="120"/>
        <w:jc w:val="both"/>
        <w:rPr>
          <w:rFonts w:ascii="Arial" w:hAnsi="Arial" w:cs="Arial"/>
          <w:sz w:val="22"/>
          <w:szCs w:val="22"/>
        </w:rPr>
      </w:pPr>
      <w:r w:rsidRPr="00DD41BA">
        <w:rPr>
          <w:rFonts w:ascii="Arial" w:hAnsi="Arial" w:cs="Arial"/>
          <w:sz w:val="22"/>
          <w:szCs w:val="22"/>
        </w:rPr>
        <w:t xml:space="preserve">Les exercices de comptabilité de la croissance </w:t>
      </w:r>
      <w:r w:rsidR="00B33B91">
        <w:rPr>
          <w:rFonts w:ascii="Arial" w:hAnsi="Arial" w:cs="Arial"/>
          <w:sz w:val="22"/>
          <w:szCs w:val="22"/>
        </w:rPr>
        <w:t>s’appliquent sur tous les pays, développés ou non, avec des niveaux et des moteurs de la croissance potentielle assez différenciés.</w:t>
      </w:r>
      <w:r w:rsidRPr="00DD41BA">
        <w:rPr>
          <w:rFonts w:ascii="Arial" w:hAnsi="Arial" w:cs="Arial"/>
          <w:sz w:val="22"/>
          <w:szCs w:val="22"/>
        </w:rPr>
        <w:t xml:space="preserve"> offrent des décompositions plus poussées des contributions à la croissance.</w:t>
      </w:r>
      <w:r>
        <w:rPr>
          <w:rFonts w:ascii="Arial" w:hAnsi="Arial" w:cs="Arial"/>
          <w:sz w:val="22"/>
          <w:szCs w:val="22"/>
        </w:rPr>
        <w:t xml:space="preserve"> La Figure </w:t>
      </w:r>
      <w:r w:rsidR="008F306A">
        <w:rPr>
          <w:rFonts w:ascii="Arial" w:hAnsi="Arial" w:cs="Arial"/>
          <w:sz w:val="22"/>
          <w:szCs w:val="22"/>
        </w:rPr>
        <w:t>2</w:t>
      </w:r>
      <w:r>
        <w:rPr>
          <w:rFonts w:ascii="Arial" w:hAnsi="Arial" w:cs="Arial"/>
          <w:sz w:val="22"/>
          <w:szCs w:val="22"/>
        </w:rPr>
        <w:t xml:space="preserve"> montre ainsi que durant les années 2000-2011, la croissance de la plupart des économies mondiales a été portée par l’accumulation du capital humain et les gains de productivité des facteurs. L’accumulation de capital et de travail reste toutefois un facteur de croissance de long terme important dans des pays comme le Chili, l’Afrique du sud, l’Espagne, la Grèce.</w:t>
      </w:r>
    </w:p>
    <w:p w14:paraId="60BA6789" w14:textId="77777777" w:rsidR="00E26479" w:rsidRDefault="00E26479" w:rsidP="00E26479">
      <w:pPr>
        <w:spacing w:before="120"/>
        <w:jc w:val="both"/>
        <w:rPr>
          <w:rFonts w:ascii="Arial" w:hAnsi="Arial" w:cs="Arial"/>
          <w:sz w:val="22"/>
          <w:szCs w:val="22"/>
        </w:rPr>
      </w:pPr>
    </w:p>
    <w:p w14:paraId="6A22DEAA" w14:textId="77777777" w:rsidR="008E23D3" w:rsidRPr="008E23D3" w:rsidRDefault="008E23D3" w:rsidP="008B0E46">
      <w:pPr>
        <w:spacing w:before="120"/>
        <w:jc w:val="both"/>
        <w:rPr>
          <w:rFonts w:ascii="Arial" w:hAnsi="Arial" w:cs="Arial"/>
          <w:b/>
          <w:sz w:val="22"/>
          <w:szCs w:val="22"/>
        </w:rPr>
      </w:pPr>
      <w:r w:rsidRPr="008E23D3">
        <w:rPr>
          <w:rFonts w:ascii="Arial" w:hAnsi="Arial" w:cs="Arial"/>
          <w:b/>
          <w:sz w:val="22"/>
          <w:szCs w:val="22"/>
        </w:rPr>
        <w:lastRenderedPageBreak/>
        <w:t xml:space="preserve">Figure </w:t>
      </w:r>
      <w:r w:rsidR="008F306A">
        <w:rPr>
          <w:rFonts w:ascii="Arial" w:hAnsi="Arial" w:cs="Arial"/>
          <w:b/>
          <w:sz w:val="22"/>
          <w:szCs w:val="22"/>
        </w:rPr>
        <w:t>2</w:t>
      </w:r>
      <w:r w:rsidRPr="008E23D3">
        <w:rPr>
          <w:rFonts w:ascii="Arial" w:hAnsi="Arial" w:cs="Arial"/>
          <w:b/>
          <w:sz w:val="22"/>
          <w:szCs w:val="22"/>
        </w:rPr>
        <w:t> : Contributions des déterminants (capital, travail, capital humain, productivité moyenne des facteurs) à la croissance du PIB par habitant entre 2000 et 2011</w:t>
      </w:r>
    </w:p>
    <w:p w14:paraId="56C50F2D" w14:textId="439F9F00" w:rsidR="008B0E46" w:rsidRPr="00DD41BA" w:rsidRDefault="000C7471" w:rsidP="008B0E46">
      <w:pPr>
        <w:jc w:val="both"/>
        <w:rPr>
          <w:rFonts w:ascii="Arial" w:hAnsi="Arial" w:cs="Arial"/>
          <w:b/>
          <w:bCs/>
          <w:caps/>
          <w:sz w:val="22"/>
          <w:szCs w:val="22"/>
        </w:rPr>
      </w:pPr>
      <w:r w:rsidRPr="00C238D7">
        <w:rPr>
          <w:rFonts w:ascii="Arial" w:hAnsi="Arial" w:cs="Arial"/>
          <w:noProof/>
          <w:sz w:val="22"/>
          <w:szCs w:val="22"/>
        </w:rPr>
        <w:drawing>
          <wp:inline distT="0" distB="0" distL="0" distR="0" wp14:anchorId="1D455952" wp14:editId="4C9D24F5">
            <wp:extent cx="4997450" cy="3104515"/>
            <wp:effectExtent l="0" t="0" r="635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997450" cy="3104515"/>
                    </a:xfrm>
                    <a:prstGeom prst="rect">
                      <a:avLst/>
                    </a:prstGeom>
                    <a:noFill/>
                    <a:ln>
                      <a:noFill/>
                    </a:ln>
                  </pic:spPr>
                </pic:pic>
              </a:graphicData>
            </a:graphic>
          </wp:inline>
        </w:drawing>
      </w:r>
    </w:p>
    <w:p w14:paraId="60E40F02" w14:textId="77777777" w:rsidR="00E26479" w:rsidRDefault="00E26479" w:rsidP="003245C2">
      <w:pPr>
        <w:spacing w:before="120"/>
        <w:jc w:val="both"/>
        <w:rPr>
          <w:rFonts w:ascii="Arial" w:hAnsi="Arial" w:cs="Arial"/>
          <w:sz w:val="22"/>
          <w:szCs w:val="22"/>
        </w:rPr>
      </w:pPr>
    </w:p>
    <w:p w14:paraId="28209B84" w14:textId="77777777" w:rsidR="008B0E46" w:rsidRPr="00DD41BA" w:rsidRDefault="008B0E46" w:rsidP="008B0E46">
      <w:pPr>
        <w:spacing w:before="120" w:after="120"/>
        <w:ind w:left="62"/>
        <w:jc w:val="both"/>
        <w:rPr>
          <w:rFonts w:ascii="Arial" w:hAnsi="Arial" w:cs="Arial"/>
          <w:sz w:val="22"/>
          <w:szCs w:val="22"/>
        </w:rPr>
      </w:pPr>
      <w:r>
        <w:rPr>
          <w:rFonts w:ascii="Arial" w:hAnsi="Arial" w:cs="Arial"/>
          <w:sz w:val="22"/>
          <w:szCs w:val="22"/>
        </w:rPr>
        <w:t xml:space="preserve">La théorie de la croissance a longtemps insisté sur l’accumulation des facteurs, et en particulier du facteur de la modernité qu’est le capital. </w:t>
      </w:r>
      <w:r w:rsidRPr="00DD41BA">
        <w:rPr>
          <w:rFonts w:ascii="Arial" w:hAnsi="Arial" w:cs="Arial"/>
          <w:sz w:val="22"/>
          <w:szCs w:val="22"/>
        </w:rPr>
        <w:t xml:space="preserve">Solow décrit un processus de croissance régulière avec équilibre mécanique de l’épargne et de l’investissement et plein emploi des facteurs. De plus, la croissance y est naturelle en ce qu’elle ne dépend pas des efforts d’épargne mais des dynamiques exogènes de la population et de la technologie. </w:t>
      </w:r>
    </w:p>
    <w:p w14:paraId="05FADDFD" w14:textId="77777777" w:rsidR="008B0E46" w:rsidRPr="00DD41BA" w:rsidRDefault="008B0E46" w:rsidP="008B0E46">
      <w:pPr>
        <w:spacing w:before="120" w:after="120"/>
        <w:ind w:left="62"/>
        <w:jc w:val="both"/>
        <w:rPr>
          <w:rFonts w:ascii="Arial" w:hAnsi="Arial" w:cs="Arial"/>
          <w:sz w:val="22"/>
          <w:szCs w:val="22"/>
        </w:rPr>
      </w:pPr>
      <w:r w:rsidRPr="00DD41BA">
        <w:rPr>
          <w:rFonts w:ascii="Arial" w:hAnsi="Arial" w:cs="Arial"/>
          <w:sz w:val="22"/>
          <w:szCs w:val="22"/>
        </w:rPr>
        <w:t xml:space="preserve">La croissance </w:t>
      </w:r>
      <w:r>
        <w:rPr>
          <w:rFonts w:ascii="Arial" w:hAnsi="Arial" w:cs="Arial"/>
          <w:sz w:val="22"/>
          <w:szCs w:val="22"/>
        </w:rPr>
        <w:t xml:space="preserve">de moyen terme </w:t>
      </w:r>
      <w:r w:rsidRPr="00DD41BA">
        <w:rPr>
          <w:rFonts w:ascii="Arial" w:hAnsi="Arial" w:cs="Arial"/>
          <w:sz w:val="22"/>
          <w:szCs w:val="22"/>
        </w:rPr>
        <w:t>dépend de la croissance de l’investissement pendant la transition vers le niveau de capital d’équilibre de long terme. Plus l’épargne et l’investissement seront élevés durant cette phase et plus le</w:t>
      </w:r>
      <w:r>
        <w:rPr>
          <w:rFonts w:ascii="Arial" w:hAnsi="Arial" w:cs="Arial"/>
          <w:sz w:val="22"/>
          <w:szCs w:val="22"/>
        </w:rPr>
        <w:t>s</w:t>
      </w:r>
      <w:r w:rsidRPr="00DD41BA">
        <w:rPr>
          <w:rFonts w:ascii="Arial" w:hAnsi="Arial" w:cs="Arial"/>
          <w:sz w:val="22"/>
          <w:szCs w:val="22"/>
        </w:rPr>
        <w:t xml:space="preserve"> niveau</w:t>
      </w:r>
      <w:r>
        <w:rPr>
          <w:rFonts w:ascii="Arial" w:hAnsi="Arial" w:cs="Arial"/>
          <w:sz w:val="22"/>
          <w:szCs w:val="22"/>
        </w:rPr>
        <w:t>x</w:t>
      </w:r>
      <w:r w:rsidRPr="00DD41BA">
        <w:rPr>
          <w:rFonts w:ascii="Arial" w:hAnsi="Arial" w:cs="Arial"/>
          <w:sz w:val="22"/>
          <w:szCs w:val="22"/>
        </w:rPr>
        <w:t xml:space="preserve"> d’équilibre du capital et du revenu par tête </w:t>
      </w:r>
      <w:r>
        <w:rPr>
          <w:rFonts w:ascii="Arial" w:hAnsi="Arial" w:cs="Arial"/>
          <w:sz w:val="22"/>
          <w:szCs w:val="22"/>
        </w:rPr>
        <w:t>seront</w:t>
      </w:r>
      <w:r w:rsidRPr="00DD41BA">
        <w:rPr>
          <w:rFonts w:ascii="Arial" w:hAnsi="Arial" w:cs="Arial"/>
          <w:sz w:val="22"/>
          <w:szCs w:val="22"/>
        </w:rPr>
        <w:t xml:space="preserve"> élevé</w:t>
      </w:r>
      <w:r>
        <w:rPr>
          <w:rFonts w:ascii="Arial" w:hAnsi="Arial" w:cs="Arial"/>
          <w:sz w:val="22"/>
          <w:szCs w:val="22"/>
        </w:rPr>
        <w:t>s</w:t>
      </w:r>
      <w:r w:rsidRPr="00DD41BA">
        <w:rPr>
          <w:rFonts w:ascii="Arial" w:hAnsi="Arial" w:cs="Arial"/>
          <w:sz w:val="22"/>
          <w:szCs w:val="22"/>
        </w:rPr>
        <w:t xml:space="preserve">. </w:t>
      </w:r>
    </w:p>
    <w:p w14:paraId="0422EDE2" w14:textId="77777777" w:rsidR="008314CB" w:rsidRDefault="008B0E46" w:rsidP="008B0E46">
      <w:pPr>
        <w:spacing w:before="120" w:after="120"/>
        <w:ind w:left="62"/>
        <w:jc w:val="both"/>
        <w:rPr>
          <w:rFonts w:ascii="Arial" w:hAnsi="Arial" w:cs="Arial"/>
          <w:sz w:val="22"/>
          <w:szCs w:val="22"/>
        </w:rPr>
      </w:pPr>
      <w:r w:rsidRPr="00DD41BA">
        <w:rPr>
          <w:rFonts w:ascii="Arial" w:hAnsi="Arial" w:cs="Arial"/>
          <w:sz w:val="22"/>
          <w:szCs w:val="22"/>
        </w:rPr>
        <w:t xml:space="preserve">Les rendements décroissants de l’accumulation du capital expliquent que les économies atteignent un sentier de croissance nulle </w:t>
      </w:r>
      <w:r>
        <w:rPr>
          <w:rFonts w:ascii="Arial" w:hAnsi="Arial" w:cs="Arial"/>
          <w:sz w:val="22"/>
          <w:szCs w:val="22"/>
        </w:rPr>
        <w:t xml:space="preserve">du capital </w:t>
      </w:r>
      <w:r w:rsidRPr="00DD41BA">
        <w:rPr>
          <w:rFonts w:ascii="Arial" w:hAnsi="Arial" w:cs="Arial"/>
          <w:sz w:val="22"/>
          <w:szCs w:val="22"/>
        </w:rPr>
        <w:t xml:space="preserve">dans le long terme. Les différentes économies convergent vers leur niveau de capital par tête de long terme, et les différences de développement s’expliquent </w:t>
      </w:r>
      <w:r>
        <w:rPr>
          <w:rFonts w:ascii="Arial" w:hAnsi="Arial" w:cs="Arial"/>
          <w:sz w:val="22"/>
          <w:szCs w:val="22"/>
        </w:rPr>
        <w:t>par les conditions initiales et par les niveaux différents d’accumulation au cours de la phase transitoire</w:t>
      </w:r>
      <w:r w:rsidRPr="00DD41BA">
        <w:rPr>
          <w:rFonts w:ascii="Arial" w:hAnsi="Arial" w:cs="Arial"/>
          <w:sz w:val="22"/>
          <w:szCs w:val="22"/>
        </w:rPr>
        <w:t xml:space="preserve"> </w:t>
      </w:r>
      <w:r>
        <w:rPr>
          <w:rFonts w:ascii="Arial" w:hAnsi="Arial" w:cs="Arial"/>
          <w:sz w:val="22"/>
          <w:szCs w:val="22"/>
        </w:rPr>
        <w:t>vers le</w:t>
      </w:r>
      <w:r w:rsidRPr="00DD41BA">
        <w:rPr>
          <w:rFonts w:ascii="Arial" w:hAnsi="Arial" w:cs="Arial"/>
          <w:sz w:val="22"/>
          <w:szCs w:val="22"/>
        </w:rPr>
        <w:t xml:space="preserve"> sentier le long terme. </w:t>
      </w:r>
    </w:p>
    <w:p w14:paraId="4B0CA8B4" w14:textId="77777777" w:rsidR="008B0E46" w:rsidRDefault="00260CED" w:rsidP="008B0E46">
      <w:pPr>
        <w:spacing w:before="120" w:after="120"/>
        <w:ind w:left="62"/>
        <w:jc w:val="both"/>
        <w:rPr>
          <w:rFonts w:ascii="Arial" w:hAnsi="Arial" w:cs="Arial"/>
          <w:sz w:val="22"/>
          <w:szCs w:val="22"/>
        </w:rPr>
      </w:pPr>
      <w:r>
        <w:rPr>
          <w:rFonts w:ascii="Arial" w:hAnsi="Arial" w:cs="Arial"/>
          <w:sz w:val="22"/>
          <w:szCs w:val="22"/>
        </w:rPr>
        <w:t>La</w:t>
      </w:r>
      <w:r w:rsidR="008B0E46" w:rsidRPr="00DD41BA">
        <w:rPr>
          <w:rFonts w:ascii="Arial" w:hAnsi="Arial" w:cs="Arial"/>
          <w:sz w:val="22"/>
          <w:szCs w:val="22"/>
        </w:rPr>
        <w:t xml:space="preserve"> théorie </w:t>
      </w:r>
      <w:r>
        <w:rPr>
          <w:rFonts w:ascii="Arial" w:hAnsi="Arial" w:cs="Arial"/>
          <w:sz w:val="22"/>
          <w:szCs w:val="22"/>
        </w:rPr>
        <w:t xml:space="preserve">de la croissance exogène </w:t>
      </w:r>
      <w:r w:rsidR="008B0E46" w:rsidRPr="008314CB">
        <w:rPr>
          <w:rFonts w:ascii="Arial" w:hAnsi="Arial" w:cs="Arial"/>
          <w:b/>
          <w:sz w:val="22"/>
          <w:szCs w:val="22"/>
        </w:rPr>
        <w:t>ne peut expliquer les différentes persistantes et croissantes dans les niveaux de développement économique et technologique</w:t>
      </w:r>
      <w:r w:rsidR="008B0E46">
        <w:rPr>
          <w:rFonts w:ascii="Arial" w:hAnsi="Arial" w:cs="Arial"/>
          <w:sz w:val="22"/>
          <w:szCs w:val="22"/>
        </w:rPr>
        <w:t xml:space="preserve"> puisque la croissance est d’autant plus rapide que le pays est loin de son niveau de capital par tête maximal. </w:t>
      </w:r>
    </w:p>
    <w:p w14:paraId="3FB0E4AC" w14:textId="77777777" w:rsidR="008B0E46" w:rsidRPr="00DD41BA" w:rsidRDefault="008B0E46" w:rsidP="008B0E46">
      <w:pPr>
        <w:spacing w:before="120" w:after="120"/>
        <w:ind w:left="62"/>
        <w:jc w:val="both"/>
        <w:rPr>
          <w:rFonts w:ascii="Arial" w:hAnsi="Arial" w:cs="Arial"/>
          <w:sz w:val="22"/>
          <w:szCs w:val="22"/>
        </w:rPr>
      </w:pPr>
      <w:r w:rsidRPr="00DD41BA">
        <w:rPr>
          <w:rFonts w:ascii="Arial" w:hAnsi="Arial" w:cs="Arial"/>
          <w:sz w:val="22"/>
          <w:szCs w:val="22"/>
        </w:rPr>
        <w:t>A partir du niveau de capital d’équilibre de long terme, les augm</w:t>
      </w:r>
      <w:r>
        <w:rPr>
          <w:rFonts w:ascii="Arial" w:hAnsi="Arial" w:cs="Arial"/>
          <w:sz w:val="22"/>
          <w:szCs w:val="22"/>
        </w:rPr>
        <w:t xml:space="preserve">entations du revenu </w:t>
      </w:r>
      <w:r w:rsidRPr="00DD41BA">
        <w:rPr>
          <w:rFonts w:ascii="Arial" w:hAnsi="Arial" w:cs="Arial"/>
          <w:sz w:val="22"/>
          <w:szCs w:val="22"/>
        </w:rPr>
        <w:t xml:space="preserve">ne dépendent que des accroissements exogènes de la force de travail et du </w:t>
      </w:r>
      <w:r w:rsidRPr="008314CB">
        <w:rPr>
          <w:rFonts w:ascii="Arial" w:hAnsi="Arial" w:cs="Arial"/>
          <w:b/>
          <w:sz w:val="22"/>
          <w:szCs w:val="22"/>
        </w:rPr>
        <w:t>progrès technique</w:t>
      </w:r>
      <w:r w:rsidRPr="00DD41BA">
        <w:rPr>
          <w:rFonts w:ascii="Arial" w:hAnsi="Arial" w:cs="Arial"/>
          <w:sz w:val="22"/>
          <w:szCs w:val="22"/>
        </w:rPr>
        <w:t>. La technologie est un bien public homogène disponible pour tous. Le PT prend essentiellement la forme d’une amélioration de la qualité du travail, qui associée à la croissance de la force de travail sont les seules variables susceptibles de stimuler la croissance une fois atteint le niveau de capital par tête d’équilibre. Or les progrès techniques dépendent également d’efforts économiques et ne peuvent être considérés comme exogènes au modèle et accessibles à tous.</w:t>
      </w:r>
    </w:p>
    <w:p w14:paraId="004167D1" w14:textId="77777777" w:rsidR="008B0E46" w:rsidRDefault="008B0E46" w:rsidP="008B0E46">
      <w:pPr>
        <w:spacing w:before="120" w:after="120"/>
        <w:ind w:left="62"/>
        <w:jc w:val="both"/>
        <w:rPr>
          <w:rFonts w:ascii="Arial" w:hAnsi="Arial" w:cs="Arial"/>
          <w:sz w:val="22"/>
          <w:szCs w:val="22"/>
        </w:rPr>
      </w:pPr>
      <w:r w:rsidRPr="00DD41BA">
        <w:rPr>
          <w:rFonts w:ascii="Arial" w:hAnsi="Arial" w:cs="Arial"/>
          <w:sz w:val="22"/>
          <w:szCs w:val="22"/>
        </w:rPr>
        <w:t xml:space="preserve">Ce modèle peut expliquer les processus de convergence observés pour quelques pays (Franca, Allemagne, Japon) après la 2GM. </w:t>
      </w:r>
      <w:r>
        <w:rPr>
          <w:rFonts w:ascii="Arial" w:hAnsi="Arial" w:cs="Arial"/>
          <w:sz w:val="22"/>
          <w:szCs w:val="22"/>
        </w:rPr>
        <w:t>En revanche, il est incapable d’expliquer l’augmentation des écarts de développement constatée sur le long terme.</w:t>
      </w:r>
    </w:p>
    <w:p w14:paraId="68385B6B" w14:textId="77777777" w:rsidR="00D75195" w:rsidRDefault="00D75195" w:rsidP="00260CED">
      <w:pPr>
        <w:spacing w:before="120" w:after="120"/>
        <w:jc w:val="both"/>
        <w:rPr>
          <w:rFonts w:ascii="Arial" w:hAnsi="Arial" w:cs="Arial"/>
          <w:sz w:val="22"/>
          <w:szCs w:val="22"/>
        </w:rPr>
      </w:pPr>
    </w:p>
    <w:p w14:paraId="5518154D" w14:textId="77777777" w:rsidR="001F68B1" w:rsidRPr="001F68B1" w:rsidRDefault="000A1C7F" w:rsidP="008B0E46">
      <w:pPr>
        <w:spacing w:before="120" w:after="120"/>
        <w:ind w:left="62"/>
        <w:jc w:val="both"/>
        <w:rPr>
          <w:rFonts w:ascii="Arial" w:hAnsi="Arial" w:cs="Arial"/>
          <w:b/>
          <w:sz w:val="22"/>
          <w:szCs w:val="22"/>
        </w:rPr>
      </w:pPr>
      <w:r>
        <w:rPr>
          <w:rFonts w:ascii="Arial" w:hAnsi="Arial" w:cs="Arial"/>
          <w:b/>
          <w:sz w:val="22"/>
          <w:szCs w:val="22"/>
        </w:rPr>
        <w:t xml:space="preserve">Figure </w:t>
      </w:r>
      <w:r w:rsidR="008F306A">
        <w:rPr>
          <w:rFonts w:ascii="Arial" w:hAnsi="Arial" w:cs="Arial"/>
          <w:b/>
          <w:sz w:val="22"/>
          <w:szCs w:val="22"/>
        </w:rPr>
        <w:t>3</w:t>
      </w:r>
      <w:r>
        <w:rPr>
          <w:rFonts w:ascii="Arial" w:hAnsi="Arial" w:cs="Arial"/>
          <w:b/>
          <w:sz w:val="22"/>
          <w:szCs w:val="22"/>
        </w:rPr>
        <w:t>. C</w:t>
      </w:r>
      <w:r w:rsidR="001F68B1" w:rsidRPr="001F68B1">
        <w:rPr>
          <w:rFonts w:ascii="Arial" w:hAnsi="Arial" w:cs="Arial"/>
          <w:b/>
          <w:sz w:val="22"/>
          <w:szCs w:val="22"/>
        </w:rPr>
        <w:t>onvergence des niveaux de productivité moyenne des facteurs 2011-2060</w:t>
      </w:r>
    </w:p>
    <w:p w14:paraId="17F615C0" w14:textId="2438161A" w:rsidR="001F68B1" w:rsidRDefault="000C7471" w:rsidP="003245C2">
      <w:pPr>
        <w:spacing w:before="120" w:after="120"/>
        <w:jc w:val="center"/>
        <w:rPr>
          <w:rFonts w:ascii="Arial" w:hAnsi="Arial" w:cs="Arial"/>
          <w:sz w:val="22"/>
          <w:szCs w:val="22"/>
        </w:rPr>
      </w:pPr>
      <w:r w:rsidRPr="001F68B1">
        <w:rPr>
          <w:rFonts w:ascii="Arial" w:hAnsi="Arial" w:cs="Arial"/>
          <w:noProof/>
          <w:sz w:val="22"/>
          <w:szCs w:val="22"/>
        </w:rPr>
        <w:drawing>
          <wp:inline distT="0" distB="0" distL="0" distR="0" wp14:anchorId="088055A4" wp14:editId="047F56F8">
            <wp:extent cx="4157345" cy="2998470"/>
            <wp:effectExtent l="0" t="0" r="8255"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57345" cy="2998470"/>
                    </a:xfrm>
                    <a:prstGeom prst="rect">
                      <a:avLst/>
                    </a:prstGeom>
                    <a:noFill/>
                    <a:ln>
                      <a:noFill/>
                    </a:ln>
                  </pic:spPr>
                </pic:pic>
              </a:graphicData>
            </a:graphic>
          </wp:inline>
        </w:drawing>
      </w:r>
    </w:p>
    <w:p w14:paraId="56AD1401" w14:textId="77777777" w:rsidR="001F68B1" w:rsidRDefault="001F68B1" w:rsidP="008B0E46">
      <w:pPr>
        <w:spacing w:before="120" w:after="120"/>
        <w:jc w:val="both"/>
        <w:rPr>
          <w:rFonts w:ascii="Arial" w:hAnsi="Arial" w:cs="Arial"/>
          <w:sz w:val="22"/>
          <w:szCs w:val="22"/>
        </w:rPr>
      </w:pPr>
    </w:p>
    <w:p w14:paraId="48E55F7A" w14:textId="139CDBC5" w:rsidR="001F68B1" w:rsidRDefault="008E23D3" w:rsidP="008B0E46">
      <w:pPr>
        <w:spacing w:before="120" w:after="120"/>
        <w:jc w:val="both"/>
        <w:rPr>
          <w:rFonts w:ascii="Arial" w:hAnsi="Arial" w:cs="Arial"/>
          <w:sz w:val="22"/>
          <w:szCs w:val="22"/>
        </w:rPr>
      </w:pPr>
      <w:r>
        <w:rPr>
          <w:rFonts w:ascii="Arial" w:hAnsi="Arial" w:cs="Arial"/>
          <w:sz w:val="22"/>
          <w:szCs w:val="22"/>
        </w:rPr>
        <w:t xml:space="preserve">La Figure </w:t>
      </w:r>
      <w:r w:rsidR="008F306A">
        <w:rPr>
          <w:rFonts w:ascii="Arial" w:hAnsi="Arial" w:cs="Arial"/>
          <w:sz w:val="22"/>
          <w:szCs w:val="22"/>
        </w:rPr>
        <w:t>3</w:t>
      </w:r>
      <w:r>
        <w:rPr>
          <w:rFonts w:ascii="Arial" w:hAnsi="Arial" w:cs="Arial"/>
          <w:sz w:val="22"/>
          <w:szCs w:val="22"/>
        </w:rPr>
        <w:t xml:space="preserve"> montre les marges </w:t>
      </w:r>
      <w:r w:rsidR="008314CB">
        <w:rPr>
          <w:rFonts w:ascii="Arial" w:hAnsi="Arial" w:cs="Arial"/>
          <w:sz w:val="22"/>
          <w:szCs w:val="22"/>
        </w:rPr>
        <w:t>très importantes de convergence</w:t>
      </w:r>
      <w:r>
        <w:rPr>
          <w:rFonts w:ascii="Arial" w:hAnsi="Arial" w:cs="Arial"/>
          <w:sz w:val="22"/>
          <w:szCs w:val="22"/>
        </w:rPr>
        <w:t xml:space="preserve"> de la productivité moyenne des facteurs qui sont attendues pendant les 50 prochaines années. La relation négative entre les niveaux de productivité en 2011 et la croissance d</w:t>
      </w:r>
      <w:r w:rsidR="00CE4DB6">
        <w:rPr>
          <w:rFonts w:ascii="Arial" w:hAnsi="Arial" w:cs="Arial"/>
          <w:sz w:val="22"/>
          <w:szCs w:val="22"/>
        </w:rPr>
        <w:t>e la productivité projetée entre</w:t>
      </w:r>
      <w:r>
        <w:rPr>
          <w:rFonts w:ascii="Arial" w:hAnsi="Arial" w:cs="Arial"/>
          <w:sz w:val="22"/>
          <w:szCs w:val="22"/>
        </w:rPr>
        <w:t xml:space="preserve"> 2011 et 2060 signifie que les pays dont la productivité initiale est la plus faible vont connaître les taux de croissance de la productivité les pl</w:t>
      </w:r>
      <w:r w:rsidR="001F68B1">
        <w:rPr>
          <w:rFonts w:ascii="Arial" w:hAnsi="Arial" w:cs="Arial"/>
          <w:sz w:val="22"/>
          <w:szCs w:val="22"/>
        </w:rPr>
        <w:t>us rapides (Chine, Inde, Indonésie, Brésil). Dès lors, on voit que tout ce qui peut alimenter les gains de productivité (innovation technologique, progression du capital humain) prend une place déterminante dans les processus de croissance contemporains. De nouvelles théories sont donc nécessaires.</w:t>
      </w:r>
    </w:p>
    <w:p w14:paraId="228CA17D" w14:textId="77777777" w:rsidR="008B0E46" w:rsidRPr="00DD41BA" w:rsidRDefault="008B0E46" w:rsidP="008B0E46">
      <w:pPr>
        <w:spacing w:before="120" w:after="120"/>
        <w:jc w:val="both"/>
        <w:rPr>
          <w:rFonts w:ascii="Arial" w:hAnsi="Arial" w:cs="Arial"/>
          <w:sz w:val="22"/>
          <w:szCs w:val="22"/>
        </w:rPr>
      </w:pPr>
      <w:r w:rsidRPr="00DD41BA">
        <w:rPr>
          <w:rFonts w:ascii="Arial" w:hAnsi="Arial" w:cs="Arial"/>
          <w:sz w:val="22"/>
          <w:szCs w:val="22"/>
        </w:rPr>
        <w:t xml:space="preserve">La théorie de la croissance endogène présente ainsi la croissance comme le résultat du progrès technique Différentes formes de progrès technique peuvent à la fois impulser la dynamique de la production et être indirectement alimentées par elle. Le PT dépend ainsi de facteurs internes à la croissance comme le </w:t>
      </w:r>
      <w:r w:rsidRPr="00001A79">
        <w:rPr>
          <w:rFonts w:ascii="Arial" w:hAnsi="Arial" w:cs="Arial"/>
          <w:i/>
          <w:sz w:val="22"/>
          <w:szCs w:val="22"/>
        </w:rPr>
        <w:t>learning by doing</w:t>
      </w:r>
      <w:r w:rsidRPr="00DD41BA">
        <w:rPr>
          <w:rFonts w:ascii="Arial" w:hAnsi="Arial" w:cs="Arial"/>
          <w:sz w:val="22"/>
          <w:szCs w:val="22"/>
        </w:rPr>
        <w:t>, la qualité des infrastructures ou le développement du capital humain et de la R&amp;D.</w:t>
      </w:r>
    </w:p>
    <w:p w14:paraId="081C0DE8" w14:textId="77777777" w:rsidR="008B0E46" w:rsidRDefault="008B0E46" w:rsidP="008B0E46">
      <w:pPr>
        <w:spacing w:before="120" w:after="120"/>
        <w:jc w:val="both"/>
        <w:rPr>
          <w:rFonts w:ascii="Arial" w:hAnsi="Arial" w:cs="Arial"/>
          <w:sz w:val="22"/>
          <w:szCs w:val="22"/>
        </w:rPr>
      </w:pPr>
      <w:r w:rsidRPr="00DD41BA">
        <w:rPr>
          <w:rFonts w:ascii="Arial" w:hAnsi="Arial" w:cs="Arial"/>
          <w:sz w:val="22"/>
          <w:szCs w:val="22"/>
        </w:rPr>
        <w:t>Le progrès technique est donc à la fois la cause et la conséquence de la croissance, et cette dernière ne rencontre donc pas de terme car elle peut s’auto-entretenir à l’infini. Dès lors, les pays ayant enclenché un processus de croissance endogène se situent sur des équilibres instables qui les éloignent durablement des économies en retard qui restent bloquées dans des équilibres stables de pauvreté.</w:t>
      </w:r>
    </w:p>
    <w:p w14:paraId="374E3A6C" w14:textId="77777777" w:rsidR="00D75195" w:rsidRDefault="00D75195" w:rsidP="008B0E46">
      <w:pPr>
        <w:spacing w:before="120" w:after="120"/>
        <w:jc w:val="both"/>
        <w:rPr>
          <w:rFonts w:ascii="Arial" w:hAnsi="Arial" w:cs="Arial"/>
          <w:sz w:val="22"/>
          <w:szCs w:val="22"/>
        </w:rPr>
      </w:pPr>
    </w:p>
    <w:p w14:paraId="4F242377" w14:textId="77777777" w:rsidR="00D75195" w:rsidRDefault="00D75195" w:rsidP="008B0E46">
      <w:pPr>
        <w:spacing w:before="120" w:after="120"/>
        <w:jc w:val="both"/>
        <w:rPr>
          <w:rFonts w:ascii="Arial" w:hAnsi="Arial" w:cs="Arial"/>
          <w:sz w:val="22"/>
          <w:szCs w:val="22"/>
        </w:rPr>
      </w:pPr>
    </w:p>
    <w:p w14:paraId="38716B17" w14:textId="77777777" w:rsidR="00D75195" w:rsidRDefault="00D75195" w:rsidP="008B0E46">
      <w:pPr>
        <w:spacing w:before="120" w:after="120"/>
        <w:jc w:val="both"/>
        <w:rPr>
          <w:rFonts w:ascii="Arial" w:hAnsi="Arial" w:cs="Arial"/>
          <w:sz w:val="22"/>
          <w:szCs w:val="22"/>
        </w:rPr>
      </w:pPr>
    </w:p>
    <w:p w14:paraId="7226298B" w14:textId="77777777" w:rsidR="00D75195" w:rsidRDefault="00D75195" w:rsidP="008B0E46">
      <w:pPr>
        <w:spacing w:before="120" w:after="120"/>
        <w:jc w:val="both"/>
        <w:rPr>
          <w:rFonts w:ascii="Arial" w:hAnsi="Arial" w:cs="Arial"/>
          <w:sz w:val="22"/>
          <w:szCs w:val="22"/>
        </w:rPr>
      </w:pPr>
    </w:p>
    <w:p w14:paraId="3D14B1AE" w14:textId="77777777" w:rsidR="00D75195" w:rsidRDefault="00D75195" w:rsidP="008B0E46">
      <w:pPr>
        <w:spacing w:before="120" w:after="120"/>
        <w:jc w:val="both"/>
        <w:rPr>
          <w:rFonts w:ascii="Arial" w:hAnsi="Arial" w:cs="Arial"/>
          <w:sz w:val="22"/>
          <w:szCs w:val="22"/>
        </w:rPr>
      </w:pPr>
    </w:p>
    <w:p w14:paraId="5DF14789" w14:textId="77777777" w:rsidR="00D75195" w:rsidRDefault="00D75195" w:rsidP="008B0E46">
      <w:pPr>
        <w:spacing w:before="120" w:after="120"/>
        <w:jc w:val="both"/>
        <w:rPr>
          <w:rFonts w:ascii="Arial" w:hAnsi="Arial" w:cs="Arial"/>
          <w:sz w:val="22"/>
          <w:szCs w:val="22"/>
        </w:rPr>
      </w:pPr>
    </w:p>
    <w:p w14:paraId="6A314AE7" w14:textId="77777777" w:rsidR="00353B4A" w:rsidRDefault="00353B4A" w:rsidP="008B0E46">
      <w:pPr>
        <w:spacing w:before="120" w:after="120"/>
        <w:jc w:val="both"/>
        <w:rPr>
          <w:rFonts w:ascii="Arial" w:hAnsi="Arial" w:cs="Arial"/>
          <w:sz w:val="22"/>
          <w:szCs w:val="22"/>
        </w:rPr>
      </w:pPr>
    </w:p>
    <w:p w14:paraId="0C523F1F" w14:textId="77777777" w:rsidR="00CB7873" w:rsidRDefault="00CB7873" w:rsidP="008B0E46">
      <w:pPr>
        <w:spacing w:before="120" w:after="120"/>
        <w:jc w:val="both"/>
        <w:rPr>
          <w:rFonts w:ascii="Arial" w:hAnsi="Arial" w:cs="Arial"/>
          <w:sz w:val="22"/>
          <w:szCs w:val="22"/>
        </w:rPr>
      </w:pPr>
    </w:p>
    <w:p w14:paraId="4A4C2E66" w14:textId="77777777" w:rsidR="00CB7873" w:rsidRPr="00CB7873" w:rsidRDefault="00CB7873" w:rsidP="008B0E46">
      <w:pPr>
        <w:spacing w:before="120" w:after="120"/>
        <w:jc w:val="both"/>
        <w:rPr>
          <w:rFonts w:ascii="Arial" w:hAnsi="Arial" w:cs="Arial"/>
          <w:b/>
          <w:sz w:val="22"/>
          <w:szCs w:val="22"/>
        </w:rPr>
      </w:pPr>
      <w:r w:rsidRPr="00CB7873">
        <w:rPr>
          <w:rFonts w:ascii="Arial" w:hAnsi="Arial" w:cs="Arial"/>
          <w:b/>
          <w:sz w:val="22"/>
          <w:szCs w:val="22"/>
        </w:rPr>
        <w:lastRenderedPageBreak/>
        <w:t>Fig</w:t>
      </w:r>
      <w:r w:rsidR="00260CED">
        <w:rPr>
          <w:rFonts w:ascii="Arial" w:hAnsi="Arial" w:cs="Arial"/>
          <w:b/>
          <w:sz w:val="22"/>
          <w:szCs w:val="22"/>
        </w:rPr>
        <w:t xml:space="preserve">ure </w:t>
      </w:r>
      <w:r w:rsidR="008F306A">
        <w:rPr>
          <w:rFonts w:ascii="Arial" w:hAnsi="Arial" w:cs="Arial"/>
          <w:b/>
          <w:sz w:val="22"/>
          <w:szCs w:val="22"/>
        </w:rPr>
        <w:t>4</w:t>
      </w:r>
      <w:r w:rsidRPr="00CB7873">
        <w:rPr>
          <w:rFonts w:ascii="Arial" w:hAnsi="Arial" w:cs="Arial"/>
          <w:b/>
          <w:sz w:val="22"/>
          <w:szCs w:val="22"/>
        </w:rPr>
        <w:t>:</w:t>
      </w:r>
      <w:r w:rsidR="00260CED">
        <w:rPr>
          <w:rFonts w:ascii="Arial" w:hAnsi="Arial" w:cs="Arial"/>
          <w:b/>
          <w:sz w:val="22"/>
          <w:szCs w:val="22"/>
        </w:rPr>
        <w:t xml:space="preserve"> </w:t>
      </w:r>
      <w:r w:rsidRPr="00CB7873">
        <w:rPr>
          <w:rFonts w:ascii="Arial" w:hAnsi="Arial" w:cs="Arial"/>
          <w:b/>
          <w:sz w:val="22"/>
          <w:szCs w:val="22"/>
        </w:rPr>
        <w:t>Princip</w:t>
      </w:r>
      <w:r>
        <w:rPr>
          <w:rFonts w:ascii="Arial" w:hAnsi="Arial" w:cs="Arial"/>
          <w:b/>
          <w:sz w:val="22"/>
          <w:szCs w:val="22"/>
        </w:rPr>
        <w:t>es</w:t>
      </w:r>
      <w:r w:rsidRPr="00CB7873">
        <w:rPr>
          <w:rFonts w:ascii="Arial" w:hAnsi="Arial" w:cs="Arial"/>
          <w:b/>
          <w:sz w:val="22"/>
          <w:szCs w:val="22"/>
        </w:rPr>
        <w:t xml:space="preserve"> généra</w:t>
      </w:r>
      <w:r>
        <w:rPr>
          <w:rFonts w:ascii="Arial" w:hAnsi="Arial" w:cs="Arial"/>
          <w:b/>
          <w:sz w:val="22"/>
          <w:szCs w:val="22"/>
        </w:rPr>
        <w:t>ux</w:t>
      </w:r>
      <w:r w:rsidRPr="00CB7873">
        <w:rPr>
          <w:rFonts w:ascii="Arial" w:hAnsi="Arial" w:cs="Arial"/>
          <w:b/>
          <w:sz w:val="22"/>
          <w:szCs w:val="22"/>
        </w:rPr>
        <w:t xml:space="preserve"> des théories de la croissance endogène</w:t>
      </w:r>
    </w:p>
    <w:p w14:paraId="679CEA5A" w14:textId="22B498EE" w:rsidR="008B0E46" w:rsidRPr="00DD41BA" w:rsidRDefault="000C7471" w:rsidP="008B0E46">
      <w:pPr>
        <w:spacing w:before="120" w:after="120"/>
        <w:ind w:left="142"/>
        <w:jc w:val="both"/>
        <w:rPr>
          <w:rFonts w:ascii="Arial" w:hAnsi="Arial" w:cs="Arial"/>
          <w:sz w:val="22"/>
          <w:szCs w:val="22"/>
        </w:rPr>
      </w:pPr>
      <w:r w:rsidRPr="00DD41BA">
        <w:rPr>
          <w:rFonts w:ascii="Arial" w:hAnsi="Arial" w:cs="Arial"/>
          <w:noProof/>
          <w:sz w:val="22"/>
          <w:szCs w:val="22"/>
        </w:rPr>
        <mc:AlternateContent>
          <mc:Choice Requires="wpg">
            <w:drawing>
              <wp:inline distT="0" distB="0" distL="0" distR="0" wp14:anchorId="3E62268E" wp14:editId="0395BE5D">
                <wp:extent cx="6477635" cy="3346450"/>
                <wp:effectExtent l="0" t="0" r="0" b="6350"/>
                <wp:docPr id="59" name="Group 224"/>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6477635" cy="3346450"/>
                          <a:chOff x="1197" y="3699"/>
                          <a:chExt cx="8161" cy="4612"/>
                        </a:xfrm>
                      </wpg:grpSpPr>
                      <wps:wsp>
                        <wps:cNvPr id="60" name="AutoShape 225"/>
                        <wps:cNvSpPr>
                          <a:spLocks noChangeAspect="1" noChangeArrowheads="1" noTextEdit="1"/>
                        </wps:cNvSpPr>
                        <wps:spPr bwMode="auto">
                          <a:xfrm>
                            <a:off x="1197" y="3699"/>
                            <a:ext cx="8161" cy="46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cNvPr id="61" name="Group 226"/>
                        <wpg:cNvGrpSpPr>
                          <a:grpSpLocks/>
                        </wpg:cNvGrpSpPr>
                        <wpg:grpSpPr bwMode="auto">
                          <a:xfrm>
                            <a:off x="1197" y="3979"/>
                            <a:ext cx="7106" cy="4032"/>
                            <a:chOff x="2155" y="3545"/>
                            <a:chExt cx="7106" cy="4032"/>
                          </a:xfrm>
                        </wpg:grpSpPr>
                        <wps:wsp>
                          <wps:cNvPr id="62" name="Text Box 227"/>
                          <wps:cNvSpPr txBox="1">
                            <a:spLocks noChangeArrowheads="1"/>
                          </wps:cNvSpPr>
                          <wps:spPr bwMode="auto">
                            <a:xfrm>
                              <a:off x="2925" y="5705"/>
                              <a:ext cx="2160" cy="1872"/>
                            </a:xfrm>
                            <a:prstGeom prst="rect">
                              <a:avLst/>
                            </a:prstGeom>
                            <a:solidFill>
                              <a:srgbClr val="FFFFFF"/>
                            </a:solidFill>
                            <a:ln w="9525">
                              <a:solidFill>
                                <a:srgbClr val="000000"/>
                              </a:solidFill>
                              <a:miter lim="800000"/>
                              <a:headEnd/>
                              <a:tailEnd/>
                            </a:ln>
                          </wps:spPr>
                          <wps:txbx>
                            <w:txbxContent>
                              <w:p w14:paraId="3C35A88F" w14:textId="77777777" w:rsidR="006F119A" w:rsidRPr="00BE4DF0" w:rsidRDefault="006F119A" w:rsidP="008B0E46">
                                <w:pPr>
                                  <w:jc w:val="center"/>
                                  <w:rPr>
                                    <w:b/>
                                  </w:rPr>
                                </w:pPr>
                                <w:r w:rsidRPr="00BE4DF0">
                                  <w:rPr>
                                    <w:b/>
                                  </w:rPr>
                                  <w:t>PT </w:t>
                                </w:r>
                                <w:r>
                                  <w:rPr>
                                    <w:b/>
                                  </w:rPr>
                                  <w:t xml:space="preserve">(sources de Rendements constants ou croissants) </w:t>
                                </w:r>
                                <w:r w:rsidRPr="00BE4DF0">
                                  <w:rPr>
                                    <w:b/>
                                  </w:rPr>
                                  <w:t>:</w:t>
                                </w:r>
                              </w:p>
                              <w:p w14:paraId="71905AE0" w14:textId="77777777" w:rsidR="006F119A" w:rsidRPr="00F4246B" w:rsidRDefault="006F119A" w:rsidP="008B0E46">
                                <w:pPr>
                                  <w:jc w:val="center"/>
                                  <w:rPr>
                                    <w:lang w:val="en-US"/>
                                  </w:rPr>
                                </w:pPr>
                                <w:r w:rsidRPr="00F4246B">
                                  <w:rPr>
                                    <w:lang w:val="en-US"/>
                                  </w:rPr>
                                  <w:t>R&amp;D</w:t>
                                </w:r>
                              </w:p>
                              <w:p w14:paraId="49FB36EA" w14:textId="77777777" w:rsidR="006F119A" w:rsidRPr="00F4246B" w:rsidRDefault="006F119A" w:rsidP="008B0E46">
                                <w:pPr>
                                  <w:jc w:val="center"/>
                                  <w:rPr>
                                    <w:lang w:val="en-US"/>
                                  </w:rPr>
                                </w:pPr>
                                <w:r w:rsidRPr="00F4246B">
                                  <w:rPr>
                                    <w:lang w:val="en-US"/>
                                  </w:rPr>
                                  <w:t>Learning by Doing</w:t>
                                </w:r>
                              </w:p>
                              <w:p w14:paraId="45768C72" w14:textId="77777777" w:rsidR="006F119A" w:rsidRPr="00F4246B" w:rsidRDefault="006F119A" w:rsidP="008B0E46">
                                <w:pPr>
                                  <w:jc w:val="center"/>
                                  <w:rPr>
                                    <w:lang w:val="en-US"/>
                                  </w:rPr>
                                </w:pPr>
                                <w:r w:rsidRPr="00F4246B">
                                  <w:rPr>
                                    <w:lang w:val="en-US"/>
                                  </w:rPr>
                                  <w:t>K humain</w:t>
                                </w:r>
                              </w:p>
                              <w:p w14:paraId="6FF6B84B" w14:textId="77777777" w:rsidR="006F119A" w:rsidRDefault="006F119A" w:rsidP="008B0E46">
                                <w:pPr>
                                  <w:jc w:val="center"/>
                                </w:pPr>
                                <w:r>
                                  <w:t>Infrastructures publiques</w:t>
                                </w:r>
                              </w:p>
                            </w:txbxContent>
                          </wps:txbx>
                          <wps:bodyPr rot="0" vert="horz" wrap="square" lIns="91440" tIns="45720" rIns="91440" bIns="45720" anchor="t" anchorCtr="0" upright="1">
                            <a:noAutofit/>
                          </wps:bodyPr>
                        </wps:wsp>
                        <wps:wsp>
                          <wps:cNvPr id="63" name="Text Box 228"/>
                          <wps:cNvSpPr txBox="1">
                            <a:spLocks noChangeArrowheads="1"/>
                          </wps:cNvSpPr>
                          <wps:spPr bwMode="auto">
                            <a:xfrm>
                              <a:off x="6957" y="6137"/>
                              <a:ext cx="2160" cy="432"/>
                            </a:xfrm>
                            <a:prstGeom prst="rect">
                              <a:avLst/>
                            </a:prstGeom>
                            <a:solidFill>
                              <a:srgbClr val="FFFFFF"/>
                            </a:solidFill>
                            <a:ln w="9525">
                              <a:solidFill>
                                <a:srgbClr val="000000"/>
                              </a:solidFill>
                              <a:miter lim="800000"/>
                              <a:headEnd/>
                              <a:tailEnd/>
                            </a:ln>
                          </wps:spPr>
                          <wps:txbx>
                            <w:txbxContent>
                              <w:p w14:paraId="619179A5" w14:textId="77777777" w:rsidR="006F119A" w:rsidRDefault="006F119A" w:rsidP="008B0E46">
                                <w:pPr>
                                  <w:jc w:val="center"/>
                                </w:pPr>
                                <w:r>
                                  <w:rPr>
                                    <w:b/>
                                  </w:rPr>
                                  <w:t>Croissance</w:t>
                                </w:r>
                              </w:p>
                            </w:txbxContent>
                          </wps:txbx>
                          <wps:bodyPr rot="0" vert="horz" wrap="square" lIns="91440" tIns="45720" rIns="91440" bIns="45720" anchor="t" anchorCtr="0" upright="1">
                            <a:noAutofit/>
                          </wps:bodyPr>
                        </wps:wsp>
                        <wps:wsp>
                          <wps:cNvPr id="64" name="Line 229"/>
                          <wps:cNvCnPr>
                            <a:cxnSpLocks noChangeShapeType="1"/>
                          </wps:cNvCnPr>
                          <wps:spPr bwMode="auto">
                            <a:xfrm>
                              <a:off x="5229" y="6281"/>
                              <a:ext cx="1584"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5" name="Line 230"/>
                          <wps:cNvCnPr>
                            <a:cxnSpLocks noChangeShapeType="1"/>
                          </wps:cNvCnPr>
                          <wps:spPr bwMode="auto">
                            <a:xfrm>
                              <a:off x="7821" y="6713"/>
                              <a:ext cx="0" cy="43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6" name="Line 231"/>
                          <wps:cNvCnPr>
                            <a:cxnSpLocks noChangeShapeType="1"/>
                          </wps:cNvCnPr>
                          <wps:spPr bwMode="auto">
                            <a:xfrm flipH="1">
                              <a:off x="5229" y="7145"/>
                              <a:ext cx="2592" cy="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7" name="Text Box 232"/>
                          <wps:cNvSpPr txBox="1">
                            <a:spLocks noChangeArrowheads="1"/>
                          </wps:cNvSpPr>
                          <wps:spPr bwMode="auto">
                            <a:xfrm>
                              <a:off x="5805" y="6425"/>
                              <a:ext cx="432" cy="288"/>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688F74C" w14:textId="77777777" w:rsidR="006F119A" w:rsidRPr="00BE4DF0" w:rsidRDefault="006F119A" w:rsidP="008B0E46">
                                <w:pPr>
                                  <w:jc w:val="center"/>
                                  <w:rPr>
                                    <w:b/>
                                  </w:rPr>
                                </w:pPr>
                                <w:r w:rsidRPr="00BE4DF0">
                                  <w:rPr>
                                    <w:b/>
                                  </w:rPr>
                                  <w:t>1</w:t>
                                </w:r>
                              </w:p>
                            </w:txbxContent>
                          </wps:txbx>
                          <wps:bodyPr rot="0" vert="horz" wrap="square" lIns="91440" tIns="45720" rIns="91440" bIns="45720" anchor="t" anchorCtr="0" upright="1">
                            <a:noAutofit/>
                          </wps:bodyPr>
                        </wps:wsp>
                        <wps:wsp>
                          <wps:cNvPr id="68" name="Text Box 233"/>
                          <wps:cNvSpPr txBox="1">
                            <a:spLocks noChangeArrowheads="1"/>
                          </wps:cNvSpPr>
                          <wps:spPr bwMode="auto">
                            <a:xfrm>
                              <a:off x="6237" y="7289"/>
                              <a:ext cx="432" cy="288"/>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F5A1E2" w14:textId="77777777" w:rsidR="006F119A" w:rsidRPr="00BE4DF0" w:rsidRDefault="006F119A" w:rsidP="008B0E46">
                                <w:pPr>
                                  <w:jc w:val="center"/>
                                  <w:rPr>
                                    <w:b/>
                                  </w:rPr>
                                </w:pPr>
                                <w:r>
                                  <w:rPr>
                                    <w:b/>
                                  </w:rPr>
                                  <w:t>2</w:t>
                                </w:r>
                              </w:p>
                            </w:txbxContent>
                          </wps:txbx>
                          <wps:bodyPr rot="0" vert="horz" wrap="square" lIns="91440" tIns="45720" rIns="91440" bIns="45720" anchor="t" anchorCtr="0" upright="1">
                            <a:noAutofit/>
                          </wps:bodyPr>
                        </wps:wsp>
                        <wps:wsp>
                          <wps:cNvPr id="69" name="Text Box 234"/>
                          <wps:cNvSpPr txBox="1">
                            <a:spLocks noChangeArrowheads="1"/>
                          </wps:cNvSpPr>
                          <wps:spPr bwMode="auto">
                            <a:xfrm>
                              <a:off x="3789" y="4265"/>
                              <a:ext cx="2736" cy="432"/>
                            </a:xfrm>
                            <a:prstGeom prst="rect">
                              <a:avLst/>
                            </a:prstGeom>
                            <a:solidFill>
                              <a:srgbClr val="FFFFFF"/>
                            </a:solidFill>
                            <a:ln w="9525">
                              <a:solidFill>
                                <a:srgbClr val="000000"/>
                              </a:solidFill>
                              <a:miter lim="800000"/>
                              <a:headEnd/>
                              <a:tailEnd/>
                            </a:ln>
                          </wps:spPr>
                          <wps:txbx>
                            <w:txbxContent>
                              <w:p w14:paraId="039E159C" w14:textId="77777777" w:rsidR="006F119A" w:rsidRPr="00BE4DF0" w:rsidRDefault="006F119A" w:rsidP="008B0E46">
                                <w:pPr>
                                  <w:jc w:val="center"/>
                                  <w:rPr>
                                    <w:b/>
                                  </w:rPr>
                                </w:pPr>
                                <w:r w:rsidRPr="00BE4DF0">
                                  <w:rPr>
                                    <w:b/>
                                  </w:rPr>
                                  <w:t>Capital, Travail, PT résiduel</w:t>
                                </w:r>
                              </w:p>
                            </w:txbxContent>
                          </wps:txbx>
                          <wps:bodyPr rot="0" vert="horz" wrap="square" lIns="91440" tIns="45720" rIns="91440" bIns="45720" anchor="t" anchorCtr="0" upright="1">
                            <a:noAutofit/>
                          </wps:bodyPr>
                        </wps:wsp>
                        <wps:wsp>
                          <wps:cNvPr id="70" name="Line 235"/>
                          <wps:cNvCnPr>
                            <a:cxnSpLocks noChangeShapeType="1"/>
                          </wps:cNvCnPr>
                          <wps:spPr bwMode="auto">
                            <a:xfrm>
                              <a:off x="6813" y="4409"/>
                              <a:ext cx="864"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 name="Text Box 236"/>
                          <wps:cNvSpPr txBox="1">
                            <a:spLocks noChangeArrowheads="1"/>
                          </wps:cNvSpPr>
                          <wps:spPr bwMode="auto">
                            <a:xfrm>
                              <a:off x="7965" y="4265"/>
                              <a:ext cx="1296" cy="432"/>
                            </a:xfrm>
                            <a:prstGeom prst="rect">
                              <a:avLst/>
                            </a:prstGeom>
                            <a:solidFill>
                              <a:srgbClr val="FFFFFF"/>
                            </a:solidFill>
                            <a:ln w="9525">
                              <a:solidFill>
                                <a:srgbClr val="000000"/>
                              </a:solidFill>
                              <a:miter lim="800000"/>
                              <a:headEnd/>
                              <a:tailEnd/>
                            </a:ln>
                          </wps:spPr>
                          <wps:txbx>
                            <w:txbxContent>
                              <w:p w14:paraId="0C014ABF" w14:textId="77777777" w:rsidR="006F119A" w:rsidRDefault="006F119A" w:rsidP="008B0E46">
                                <w:pPr>
                                  <w:jc w:val="center"/>
                                </w:pPr>
                                <w:r>
                                  <w:rPr>
                                    <w:b/>
                                  </w:rPr>
                                  <w:t>Croissance</w:t>
                                </w:r>
                              </w:p>
                            </w:txbxContent>
                          </wps:txbx>
                          <wps:bodyPr rot="0" vert="horz" wrap="square" lIns="91440" tIns="45720" rIns="91440" bIns="45720" anchor="t" anchorCtr="0" upright="1">
                            <a:noAutofit/>
                          </wps:bodyPr>
                        </wps:wsp>
                        <wps:wsp>
                          <wps:cNvPr id="72" name="Text Box 237"/>
                          <wps:cNvSpPr txBox="1">
                            <a:spLocks noChangeArrowheads="1"/>
                          </wps:cNvSpPr>
                          <wps:spPr bwMode="auto">
                            <a:xfrm>
                              <a:off x="2155" y="4985"/>
                              <a:ext cx="2111" cy="57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C5CDB2" w14:textId="77777777" w:rsidR="006F119A" w:rsidRDefault="006F119A" w:rsidP="008B0E46">
                                <w:pPr>
                                  <w:jc w:val="center"/>
                                </w:pPr>
                                <w:r>
                                  <w:t>Théorie de la croissance endogène</w:t>
                                </w:r>
                              </w:p>
                            </w:txbxContent>
                          </wps:txbx>
                          <wps:bodyPr rot="0" vert="horz" wrap="square" lIns="91440" tIns="45720" rIns="91440" bIns="45720" anchor="t" anchorCtr="0" upright="1">
                            <a:noAutofit/>
                          </wps:bodyPr>
                        </wps:wsp>
                        <wps:wsp>
                          <wps:cNvPr id="73" name="Text Box 238"/>
                          <wps:cNvSpPr txBox="1">
                            <a:spLocks noChangeArrowheads="1"/>
                          </wps:cNvSpPr>
                          <wps:spPr bwMode="auto">
                            <a:xfrm>
                              <a:off x="2155" y="3545"/>
                              <a:ext cx="2111" cy="57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609391" w14:textId="77777777" w:rsidR="006F119A" w:rsidRDefault="006F119A" w:rsidP="008B0E46">
                                <w:pPr>
                                  <w:jc w:val="center"/>
                                </w:pPr>
                                <w:r>
                                  <w:t>Théorie de la croissance exogène</w:t>
                                </w:r>
                              </w:p>
                            </w:txbxContent>
                          </wps:txbx>
                          <wps:bodyPr rot="0" vert="horz" wrap="square" lIns="91440" tIns="45720" rIns="91440" bIns="45720" anchor="t" anchorCtr="0" upright="1">
                            <a:noAutofit/>
                          </wps:bodyPr>
                        </wps:wsp>
                        <wps:wsp>
                          <wps:cNvPr id="74" name="Line 239"/>
                          <wps:cNvCnPr>
                            <a:cxnSpLocks noChangeShapeType="1"/>
                          </wps:cNvCnPr>
                          <wps:spPr bwMode="auto">
                            <a:xfrm flipH="1" flipV="1">
                              <a:off x="6093" y="4553"/>
                              <a:ext cx="864" cy="576"/>
                            </a:xfrm>
                            <a:prstGeom prst="line">
                              <a:avLst/>
                            </a:prstGeom>
                            <a:noFill/>
                            <a:ln w="63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 name="Text Box 240"/>
                          <wps:cNvSpPr txBox="1">
                            <a:spLocks noChangeArrowheads="1"/>
                          </wps:cNvSpPr>
                          <wps:spPr bwMode="auto">
                            <a:xfrm>
                              <a:off x="6669" y="4841"/>
                              <a:ext cx="1152" cy="5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702F39" w14:textId="77777777" w:rsidR="006F119A" w:rsidRDefault="006F119A" w:rsidP="008B0E46">
                                <w:r>
                                  <w:t xml:space="preserve">Qualité du travail </w:t>
                                </w:r>
                              </w:p>
                            </w:txbxContent>
                          </wps:txbx>
                          <wps:bodyPr rot="0" vert="horz" wrap="square" lIns="91440" tIns="45720" rIns="91440" bIns="45720" anchor="t" anchorCtr="0" upright="1">
                            <a:noAutofit/>
                          </wps:bodyPr>
                        </wps:wsp>
                        <wps:wsp>
                          <wps:cNvPr id="76" name="Line 241"/>
                          <wps:cNvCnPr>
                            <a:cxnSpLocks noChangeShapeType="1"/>
                          </wps:cNvCnPr>
                          <wps:spPr bwMode="auto">
                            <a:xfrm flipH="1">
                              <a:off x="4653" y="5273"/>
                              <a:ext cx="1872" cy="1296"/>
                            </a:xfrm>
                            <a:prstGeom prst="line">
                              <a:avLst/>
                            </a:prstGeom>
                            <a:noFill/>
                            <a:ln w="317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 name="Line 242"/>
                          <wps:cNvCnPr>
                            <a:cxnSpLocks noChangeShapeType="1"/>
                          </wps:cNvCnPr>
                          <wps:spPr bwMode="auto">
                            <a:xfrm flipH="1">
                              <a:off x="4509" y="5417"/>
                              <a:ext cx="2160" cy="158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wgp>
                  </a:graphicData>
                </a:graphic>
              </wp:inline>
            </w:drawing>
          </mc:Choice>
          <mc:Fallback>
            <w:pict>
              <v:group w14:anchorId="3E62268E" id="Group_x0020_224" o:spid="_x0000_s1026" style="width:510.05pt;height:263.5pt;mso-position-horizontal-relative:char;mso-position-vertical-relative:line" coordorigin="1197,3699" coordsize="8161,4612"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">
                <o:lock v:ext="edit" aspectratio="t"/>
                <v:rect id="AutoShape_x0020_225" o:spid="_x0000_s1027" style="position:absolute;left:1197;top:3699;width:8161;height:4612;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XCoRiwgAA&#10;ANsAAAAPAAAAZHJzL2Rvd25yZXYueG1sRE9Na4NAEL0X8h+WCfRSmrU5SLHZSBBCJBRCTZrz4E5V&#10;4s6qu1Xz77OHQo+P971JZ9OKkQbXWFbwtopAEJdWN1wpuJz3r+8gnEfW2FomBXdykG4XTxtMtJ34&#10;i8bCVyKEsEtQQe19l0jpypoMupXtiAP3YweDPsChknrAKYSbVq6jKJYGGw4NNXaU1VTeil+jYCpP&#10;4/X8eZCnl2tuuc/7rPg+KvW8nHcfIDzN/l/85861gjisD1/CD5DbB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FcKhGLCAAAA2wAAAA8AAAAAAAAAAAAAAAAAlwIAAGRycy9kb3du&#10;cmV2LnhtbFBLBQYAAAAABAAEAPUAAACGAwAAAAA=&#10;" filled="f" stroked="f">
                  <o:lock v:ext="edit" aspectratio="t" text="t"/>
                </v:rect>
                <v:group id="Group_x0020_226" o:spid="_x0000_s1028" style="position:absolute;left:1197;top:3979;width:7106;height:4032" coordorigin="2155,3545" coordsize="7106,4032"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2ncU/MUAAADbAAAA&#10;DwAAAAAAAAAAAAAAAACpAgAAZHJzL2Rvd25yZXYueG1sUEsFBgAAAAAEAAQA+gAAAJsDAAAAAA==&#10;">
                  <v:shapetype id="_x0000_t202" coordsize="21600,21600" o:spt="202" path="m0,0l0,21600,21600,21600,21600,0xe">
                    <v:stroke joinstyle="miter"/>
                    <v:path gradientshapeok="t" o:connecttype="rect"/>
                  </v:shapetype>
                  <v:shape id="Text_x0020_Box_x0020_227" o:spid="_x0000_s1029" type="#_x0000_t202" style="position:absolute;left:2925;top:5705;width:2160;height:1872;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">
                    <v:textbox>
                      <w:txbxContent>
                        <w:p w14:paraId="3C35A88F" w14:textId="77777777" w:rsidR="006F119A" w:rsidRPr="00BE4DF0" w:rsidRDefault="006F119A" w:rsidP="008B0E46">
                          <w:pPr>
                            <w:jc w:val="center"/>
                            <w:rPr>
                              <w:b/>
                            </w:rPr>
                          </w:pPr>
                          <w:r w:rsidRPr="00BE4DF0">
                            <w:rPr>
                              <w:b/>
                            </w:rPr>
                            <w:t>PT </w:t>
                          </w:r>
                          <w:r>
                            <w:rPr>
                              <w:b/>
                            </w:rPr>
                            <w:t xml:space="preserve">(sources de Rendements constants ou croissants) </w:t>
                          </w:r>
                          <w:r w:rsidRPr="00BE4DF0">
                            <w:rPr>
                              <w:b/>
                            </w:rPr>
                            <w:t>:</w:t>
                          </w:r>
                        </w:p>
                        <w:p w14:paraId="71905AE0" w14:textId="77777777" w:rsidR="006F119A" w:rsidRPr="00F4246B" w:rsidRDefault="006F119A" w:rsidP="008B0E46">
                          <w:pPr>
                            <w:jc w:val="center"/>
                            <w:rPr>
                              <w:lang w:val="en-US"/>
                            </w:rPr>
                          </w:pPr>
                          <w:r w:rsidRPr="00F4246B">
                            <w:rPr>
                              <w:lang w:val="en-US"/>
                            </w:rPr>
                            <w:t>R&amp;D</w:t>
                          </w:r>
                        </w:p>
                        <w:p w14:paraId="49FB36EA" w14:textId="77777777" w:rsidR="006F119A" w:rsidRPr="00F4246B" w:rsidRDefault="006F119A" w:rsidP="008B0E46">
                          <w:pPr>
                            <w:jc w:val="center"/>
                            <w:rPr>
                              <w:lang w:val="en-US"/>
                            </w:rPr>
                          </w:pPr>
                          <w:r w:rsidRPr="00F4246B">
                            <w:rPr>
                              <w:lang w:val="en-US"/>
                            </w:rPr>
                            <w:t>Learning by Doing</w:t>
                          </w:r>
                        </w:p>
                        <w:p w14:paraId="45768C72" w14:textId="77777777" w:rsidR="006F119A" w:rsidRPr="00F4246B" w:rsidRDefault="006F119A" w:rsidP="008B0E46">
                          <w:pPr>
                            <w:jc w:val="center"/>
                            <w:rPr>
                              <w:lang w:val="en-US"/>
                            </w:rPr>
                          </w:pPr>
                          <w:r w:rsidRPr="00F4246B">
                            <w:rPr>
                              <w:lang w:val="en-US"/>
                            </w:rPr>
                            <w:t>K humain</w:t>
                          </w:r>
                        </w:p>
                        <w:p w14:paraId="6FF6B84B" w14:textId="77777777" w:rsidR="006F119A" w:rsidRDefault="006F119A" w:rsidP="008B0E46">
                          <w:pPr>
                            <w:jc w:val="center"/>
                          </w:pPr>
                          <w:r>
                            <w:t>Infrastructures publiques</w:t>
                          </w:r>
                        </w:p>
                      </w:txbxContent>
                    </v:textbox>
                  </v:shape>
                  <v:shape id="Text_x0020_Box_x0020_228" o:spid="_x0000_s1030" type="#_x0000_t202" style="position:absolute;left:6957;top:6137;width:2160;height:432;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Oo2HcxQAA&#10;ANsAAAAPAAAAZHJzL2Rvd25yZXYueG1sRI9Pa8JAFMTvBb/D8gpeSt34h1SjqxShxd40Le31kX0m&#10;odm36e4a47d3C4LHYWZ+w6w2vWlER87XlhWMRwkI4sLqmksFX59vz3MQPiBrbCyTggt52KwHDyvM&#10;tD3zgbo8lCJC2GeooAqhzaT0RUUG/ci2xNE7WmcwROlKqR2eI9w0cpIkqTRYc1yosKVtRcVvfjIK&#10;5rNd9+M/pvvvIj02i/D00r3/OaWGj/3rEkSgPtzDt/ZOK0in8P8l/gC5vgI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M6jYdzFAAAA2wAAAA8AAAAAAAAAAAAAAAAAlwIAAGRycy9k&#10;b3ducmV2LnhtbFBLBQYAAAAABAAEAPUAAACJAwAAAAA=&#10;">
                    <v:textbox>
                      <w:txbxContent>
                        <w:p w14:paraId="619179A5" w14:textId="77777777" w:rsidR="006F119A" w:rsidRDefault="006F119A" w:rsidP="008B0E46">
                          <w:pPr>
                            <w:jc w:val="center"/>
                          </w:pPr>
                          <w:r>
                            <w:rPr>
                              <w:b/>
                            </w:rPr>
                            <w:t>Croissance</w:t>
                          </w:r>
                        </w:p>
                      </w:txbxContent>
                    </v:textbox>
                  </v:shape>
                  <v:line id="Line_x0020_229" o:spid="_x0000_s1031" style="position:absolute;visibility:visible;mso-wrap-style:square" from="5229,6281" to="6813,628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FYR9QsUAAADbAAAADwAAAGRycy9kb3ducmV2LnhtbESPzWrDMBCE74G+g9hCbomcEPLjRgkl&#10;JtBDW4gTet5aW8vUWhlLcdS3rwqFHIeZ+YbZ7qNtxUC9bxwrmE0zEMSV0w3XCi7n42QNwgdkja1j&#10;UvBDHva7h9EWc+1ufKKhDLVIEPY5KjAhdLmUvjJk0U9dR5y8L9dbDEn2tdQ93hLctnKeZUtpseG0&#10;YLCjg6Hqu7xaBStTnORKFq/n92JoZpv4Fj8+N0qNH+PzE4hAMdzD/+0XrWC5gL8v6QfI3S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FYR9QsUAAADbAAAADwAAAAAAAAAA&#10;AAAAAAChAgAAZHJzL2Rvd25yZXYueG1sUEsFBgAAAAAEAAQA+QAAAJMDAAAAAA==&#10;">
                    <v:stroke endarrow="block"/>
                  </v:line>
                  <v:line id="Line_x0020_230" o:spid="_x0000_s1032" style="position:absolute;visibility:visible;mso-wrap-style:square" from="7821,6713" to="7821,7145"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"/>
                  <v:line id="Line_x0020_231" o:spid="_x0000_s1033" style="position:absolute;flip:x;visibility:visible;mso-wrap-style:square" from="5229,7145" to="7821,7145"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2g9x48QAAADbAAAADwAAAGRycy9kb3ducmV2LnhtbESPQWvCQBSE7wX/w/KE3uqmFkKIriJC&#10;qbQgGBWvL9lnNjb7NmRXjf++Wyj0OMzMN8x8OdhW3Kj3jWMFr5MEBHHldMO1gsP+/SUD4QOyxtYx&#10;KXiQh+Vi9DTHXLs77+hWhFpECPscFZgQulxKXxmy6CeuI47e2fUWQ5R9LXWP9wi3rZwmSSotNhwX&#10;DHa0NlR9F1er4K3bfJ7tzhSnbVZmH5djWVbrL6Wex8NqBiLQEP7Df+2NVpCm8Psl/gC5+AE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DaD3HjxAAAANsAAAAPAAAAAAAAAAAA&#10;AAAAAKECAABkcnMvZG93bnJldi54bWxQSwUGAAAAAAQABAD5AAAAkgMAAAAA&#10;" strokeweight="1pt">
                    <v:stroke endarrow="block"/>
                  </v:line>
                  <v:shape id="Text_x0020_Box_x0020_232" o:spid="_x0000_s1034" type="#_x0000_t202" style="position:absolute;left:5805;top:6425;width:432;height:28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1a8/4wgAA&#10;ANsAAAAPAAAAZHJzL2Rvd25yZXYueG1sRI9Bi8IwFITvgv8hPMGLaKoHlWoUWV3Q9aS7P+DZPJti&#10;89JtsrX+e7MgeBxm5htmuW5tKRqqfeFYwXiUgCDOnC44V/Dz/Tmcg/ABWWPpmBQ8yMN61e0sMdXu&#10;zidqziEXEcI+RQUmhCqV0meGLPqRq4ijd3W1xRBlnUtd4z3CbSknSTKVFguOCwYr+jCU3c5/VkEz&#10;o4O/fO3ost3KgaFT88vHq1L9XrtZgAjUhnf41d5rBdMZ/H+JP0Cung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LVrz/jCAAAA2wAAAA8AAAAAAAAAAAAAAAAAlwIAAGRycy9kb3du&#10;cmV2LnhtbFBLBQYAAAAABAAEAPUAAACGAwAAAAA=&#10;" fillcolor="silver" stroked="f">
                    <v:textbox>
                      <w:txbxContent>
                        <w:p w14:paraId="5688F74C" w14:textId="77777777" w:rsidR="006F119A" w:rsidRPr="00BE4DF0" w:rsidRDefault="006F119A" w:rsidP="008B0E46">
                          <w:pPr>
                            <w:jc w:val="center"/>
                            <w:rPr>
                              <w:b/>
                            </w:rPr>
                          </w:pPr>
                          <w:r w:rsidRPr="00BE4DF0">
                            <w:rPr>
                              <w:b/>
                            </w:rPr>
                            <w:t>1</w:t>
                          </w:r>
                        </w:p>
                      </w:txbxContent>
                    </v:textbox>
                  </v:shape>
                  <v:shape id="Text_x0020_Box_x0020_233" o:spid="_x0000_s1035" type="#_x0000_t202" style="position:absolute;left:6237;top:7289;width:432;height:28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E9FuKvwAA&#10;ANsAAAAPAAAAZHJzL2Rvd25yZXYueG1sRE/NisIwEL4LvkMYYS+i6XpQqUYRXWFdT1UfYGzGpthM&#10;uk221rffHASPH9//ct3ZSrTU+NKxgs9xAoI4d7rkQsHlvB/NQfiArLFyTAqe5GG96veWmGr34Iza&#10;UyhEDGGfogITQp1K6XNDFv3Y1cSRu7nGYoiwKaRu8BHDbSUnSTKVFkuODQZr2hrK76c/q6Cd0cFf&#10;f77outvJoaGs/eXjTamPQbdZgAjUhbf45f7WCqZxbPwSf4Bc/QM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MT0W4q/AAAA2wAAAA8AAAAAAAAAAAAAAAAAlwIAAGRycy9kb3ducmV2&#10;LnhtbFBLBQYAAAAABAAEAPUAAACDAwAAAAA=&#10;" fillcolor="silver" stroked="f">
                    <v:textbox>
                      <w:txbxContent>
                        <w:p w14:paraId="67F5A1E2" w14:textId="77777777" w:rsidR="006F119A" w:rsidRPr="00BE4DF0" w:rsidRDefault="006F119A" w:rsidP="008B0E46">
                          <w:pPr>
                            <w:jc w:val="center"/>
                            <w:rPr>
                              <w:b/>
                            </w:rPr>
                          </w:pPr>
                          <w:r>
                            <w:rPr>
                              <w:b/>
                            </w:rPr>
                            <w:t>2</w:t>
                          </w:r>
                        </w:p>
                      </w:txbxContent>
                    </v:textbox>
                  </v:shape>
                  <v:shape id="Text_x0020_Box_x0020_234" o:spid="_x0000_s1036" type="#_x0000_t202" style="position:absolute;left:3789;top:4265;width:2736;height:432;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">
                    <v:textbox>
                      <w:txbxContent>
                        <w:p w14:paraId="039E159C" w14:textId="77777777" w:rsidR="006F119A" w:rsidRPr="00BE4DF0" w:rsidRDefault="006F119A" w:rsidP="008B0E46">
                          <w:pPr>
                            <w:jc w:val="center"/>
                            <w:rPr>
                              <w:b/>
                            </w:rPr>
                          </w:pPr>
                          <w:r w:rsidRPr="00BE4DF0">
                            <w:rPr>
                              <w:b/>
                            </w:rPr>
                            <w:t>Capital, Travail, PT résiduel</w:t>
                          </w:r>
                        </w:p>
                      </w:txbxContent>
                    </v:textbox>
                  </v:shape>
                  <v:line id="Line_x0020_235" o:spid="_x0000_s1037" style="position:absolute;visibility:visible;mso-wrap-style:square" from="6813,4409" to="7677,4409"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72btnMEAAADbAAAADwAAAGRycy9kb3ducmV2LnhtbERPS0sDMRC+C/6HMEJvNtse+libFnEp&#10;eKhCW/E8bsbN4maybOI2/ffOQejx43tvdtl3aqQhtoENzKYFKOI62JYbAx/n/eMKVEzIFrvAZOBK&#10;EXbb+7sNljZc+EjjKTVKQjiWaMCl1Jdax9qRxzgNPbFw32HwmAQOjbYDXiTcd3peFAvtsWVpcNjT&#10;i6P65/TrDSxdddRLXR3O79XYztb5LX9+rY2ZPOTnJ1CJcrqJ/92vVnyyXr7ID9DbPwA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DvZu2cwQAAANsAAAAPAAAAAAAAAAAAAAAA&#10;AKECAABkcnMvZG93bnJldi54bWxQSwUGAAAAAAQABAD5AAAAjwMAAAAA&#10;">
                    <v:stroke endarrow="block"/>
                  </v:line>
                  <v:shape id="Text_x0020_Box_x0020_236" o:spid="_x0000_s1038" type="#_x0000_t202" style="position:absolute;left:7965;top:4265;width:1296;height:432;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5MztxQAA&#10;ANsAAAAPAAAAZHJzL2Rvd25yZXYueG1sRI9PawIxFMTvQr9DeIIX0ay2qN1ulFJo0VtrRa+Pzds/&#10;uHnZJum6fnsjFHocZuY3TLbpTSM6cr62rGA2TUAQ51bXXCo4fL9PViB8QNbYWCYFV/KwWT8MMky1&#10;vfAXdftQighhn6KCKoQ2ldLnFRn0U9sSR6+wzmCI0pVSO7xEuGnkPEkW0mDNcaHClt4qys/7X6Ng&#10;9bTtTn73+HnMF0XzHMbL7uPHKTUa9q8vIAL14T/8195qBcsZ3L/EHyDXN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NTkzO3FAAAA2wAAAA8AAAAAAAAAAAAAAAAAlwIAAGRycy9k&#10;b3ducmV2LnhtbFBLBQYAAAAABAAEAPUAAACJAwAAAAA=&#10;">
                    <v:textbox>
                      <w:txbxContent>
                        <w:p w14:paraId="0C014ABF" w14:textId="77777777" w:rsidR="006F119A" w:rsidRDefault="006F119A" w:rsidP="008B0E46">
                          <w:pPr>
                            <w:jc w:val="center"/>
                          </w:pPr>
                          <w:r>
                            <w:rPr>
                              <w:b/>
                            </w:rPr>
                            <w:t>Croissance</w:t>
                          </w:r>
                        </w:p>
                      </w:txbxContent>
                    </v:textbox>
                  </v:shape>
                  <v:shape id="Text_x0020_Box_x0020_237" o:spid="_x0000_s1039" type="#_x0000_t202" style="position:absolute;left:2155;top:4985;width:2111;height:5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gxfq9wgAA&#10;ANsAAAAPAAAAZHJzL2Rvd25yZXYueG1sRI9Bi8IwFITvgv8hPGEvoqkeVKpRZHVh1ZPu/oBn82yK&#10;zUu3ydb6740geBxm5htmsWptKRqqfeFYwWiYgCDOnC44V/D78zWYgfABWWPpmBTcycNq2e0sMNXu&#10;xkdqTiEXEcI+RQUmhCqV0meGLPqhq4ijd3G1xRBlnUtd4y3CbSnHSTKRFguOCwYr+jSUXU//VkEz&#10;pZ0/77d03mxk39Cx+ePDRamPXruegwjUhnf41f7WCqZjeH6JP0AuH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CDF+r3CAAAA2wAAAA8AAAAAAAAAAAAAAAAAlwIAAGRycy9kb3du&#10;cmV2LnhtbFBLBQYAAAAABAAEAPUAAACGAwAAAAA=&#10;" fillcolor="silver" stroked="f">
                    <v:textbox>
                      <w:txbxContent>
                        <w:p w14:paraId="2FC5CDB2" w14:textId="77777777" w:rsidR="006F119A" w:rsidRDefault="006F119A" w:rsidP="008B0E46">
                          <w:pPr>
                            <w:jc w:val="center"/>
                          </w:pPr>
                          <w:r>
                            <w:t>Théorie de la croissance endogène</w:t>
                          </w:r>
                        </w:p>
                      </w:txbxContent>
                    </v:textbox>
                  </v:shape>
                  <v:shape id="Text_x0020_Box_x0020_238" o:spid="_x0000_s1040" type="#_x0000_t202" style="position:absolute;left:2155;top:3545;width:2111;height:5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PiV8mxAAA&#10;ANsAAAAPAAAAZHJzL2Rvd25yZXYueG1sRI/RasJAFETfC/2H5Rb6UsymFrTErCJqodWnWD/gmr1m&#10;g9m7aXYb07/vCoKPw8ycYfLFYBvRU+drxwpekxQEcel0zZWCw/fH6B2ED8gaG8ek4I88LOaPDzlm&#10;2l24oH4fKhEh7DNUYEJoMyl9aciiT1xLHL2T6yyGKLtK6g4vEW4bOU7TibRYc1ww2NLKUHne/1oF&#10;/ZS+/HG7oeN6LV8MFf0P705KPT8NyxmIQEO4h2/tT61g+gbXL/EHyPk/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T4lfJsQAAADbAAAADwAAAAAAAAAAAAAAAACXAgAAZHJzL2Rv&#10;d25yZXYueG1sUEsFBgAAAAAEAAQA9QAAAIgDAAAAAA==&#10;" fillcolor="silver" stroked="f">
                    <v:textbox>
                      <w:txbxContent>
                        <w:p w14:paraId="50609391" w14:textId="77777777" w:rsidR="006F119A" w:rsidRDefault="006F119A" w:rsidP="008B0E46">
                          <w:pPr>
                            <w:jc w:val="center"/>
                          </w:pPr>
                          <w:r>
                            <w:t>Théorie de la croissance exogène</w:t>
                          </w:r>
                        </w:p>
                      </w:txbxContent>
                    </v:textbox>
                  </v:shape>
                  <v:line id="Line_x0020_239" o:spid="_x0000_s1041" style="position:absolute;flip:x y;visibility:visible;mso-wrap-style:square" from="6093,4553" to="6957,5129"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Jj2eksQAAADbAAAADwAAAGRycy9kb3ducmV2LnhtbESPwW7CMBBE75X6D9ZW6q1xgoBCwCCK&#10;VMGBC2k/YImXOGq8TmMnpH+PK1XqcTQzbzTr7WgbMVDna8cKsiQFQVw6XXOl4PPj/WUBwgdkjY1j&#10;UvBDHrabx4c15trd+ExDESoRIexzVGBCaHMpfWnIok9cSxy9q+sshii7SuoObxFuGzlJ07m0WHNc&#10;MNjS3lD5VfRWwazP3hb9tzuflpfjdKar/aExhVLPT+NuBSLQGP7Df+2jVvA6hd8v8QfIzR0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mPZ6SxAAAANsAAAAPAAAAAAAAAAAA&#10;AAAAAKECAABkcnMvZG93bnJldi54bWxQSwUGAAAAAAQABAD5AAAAkgMAAAAA&#10;" strokeweight=".5pt">
                    <v:stroke endarrow="block"/>
                  </v:line>
                  <v:shape id="Text_x0020_Box_x0020_240" o:spid="_x0000_s1042" type="#_x0000_t202" style="position:absolute;left:6669;top:4841;width:1152;height:576;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Ayb1FxAAA&#10;ANsAAAAPAAAAZHJzL2Rvd25yZXYueG1sRI/NasMwEITvgb6D2EIvoZFT4rh1LZs0kOJr0jzAxlr/&#10;UGtlLDV23j4qFHocZuYbJitm04srja6zrGC9ikAQV1Z33Cg4fx2eX0E4j6yxt0wKbuSgyB8WGaba&#10;Tnyk68k3IkDYpaig9X5IpXRVSwbdyg7EwavtaNAHOTZSjzgFuOnlSxRtpcGOw0KLA+1bqr5PP0ZB&#10;XU7L+G26fPpzctxsP7BLLvam1NPjvHsH4Wn2/+G/dqkVJDH8fgk/QOZ3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QMm9RcQAAADbAAAADwAAAAAAAAAAAAAAAACXAgAAZHJzL2Rv&#10;d25yZXYueG1sUEsFBgAAAAAEAAQA9QAAAIgDAAAAAA==&#10;" stroked="f">
                    <v:textbox>
                      <w:txbxContent>
                        <w:p w14:paraId="2D702F39" w14:textId="77777777" w:rsidR="006F119A" w:rsidRDefault="006F119A" w:rsidP="008B0E46">
                          <w:r>
                            <w:t xml:space="preserve">Qualité du travail </w:t>
                          </w:r>
                        </w:p>
                      </w:txbxContent>
                    </v:textbox>
                  </v:shape>
                  <v:line id="Line_x0020_241" o:spid="_x0000_s1043" style="position:absolute;flip:x;visibility:visible;mso-wrap-style:square" from="4653,5273" to="6525,6569"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OnKw2MIAAADbAAAADwAAAGRycy9kb3ducmV2LnhtbESPQWsCMRSE7wX/Q3hCbzVR2lVWo4jQ&#10;4qWUrnp/bJ67i5uXNYnr+u+bQqHHYWa+YVabwbaiJx8axxqmEwWCuHSm4UrD8fD+sgARIrLB1jFp&#10;eFCAzXr0tMLcuDt/U1/ESiQIhxw11DF2uZShrMlimLiOOHln5y3GJH0ljcd7gttWzpTKpMWG00KN&#10;He1qKi/FzWo4fTh/U2X19tp89ar4lOjommn9PB62SxCRhvgf/mvvjYZ5Br9f0g+Q6x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OnKw2MIAAADbAAAADwAAAAAAAAAAAAAA&#10;AAChAgAAZHJzL2Rvd25yZXYueG1sUEsFBgAAAAAEAAQA+QAAAJADAAAAAA==&#10;" strokeweight=".25pt">
                    <v:stroke endarrow="block"/>
                  </v:line>
                  <v:line id="Line_x0020_242" o:spid="_x0000_s1044" style="position:absolute;flip:x;visibility:visible;mso-wrap-style:square" from="4509,5417" to="6669,700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7Sn1psUAAADbAAAADwAAAGRycy9kb3ducmV2LnhtbESPT2vCQBDF74V+h2WEXkLdVMHU1FVa&#10;W6EgHvxz8Dhkp0kwOxuyU43f3i0IPT7evN+bN1v0rlFn6kLt2cDLMAVFXHhbc2ngsF89v4IKgmyx&#10;8UwGrhRgMX98mGFu/YW3dN5JqSKEQ44GKpE21zoUFTkMQ98SR+/Hdw4lyq7UtsNLhLtGj9J0oh3W&#10;HBsqbGlZUXHa/br4xmrDn+Nx8uF0kkzp6yjrVIsxT4P+/Q2UUC//x/f0tzWQZfC3JQJAz2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7Sn1psUAAADbAAAADwAAAAAAAAAA&#10;AAAAAAChAgAAZHJzL2Rvd25yZXYueG1sUEsFBgAAAAAEAAQA+QAAAJMDAAAAAA==&#10;">
                    <v:stroke endarrow="block"/>
                  </v:line>
                </v:group>
                <w10:anchorlock/>
              </v:group>
            </w:pict>
          </mc:Fallback>
        </mc:AlternateContent>
      </w:r>
    </w:p>
    <w:p w14:paraId="09D75CBC" w14:textId="77777777" w:rsidR="008B0E46" w:rsidRPr="00DD41BA" w:rsidRDefault="008B0E46" w:rsidP="003245C2">
      <w:pPr>
        <w:spacing w:before="120" w:after="120"/>
        <w:jc w:val="both"/>
        <w:rPr>
          <w:rFonts w:ascii="Arial" w:hAnsi="Arial" w:cs="Arial"/>
          <w:sz w:val="22"/>
          <w:szCs w:val="22"/>
        </w:rPr>
      </w:pPr>
      <w:r w:rsidRPr="00DD41BA">
        <w:rPr>
          <w:rFonts w:ascii="Arial" w:hAnsi="Arial" w:cs="Arial"/>
          <w:sz w:val="22"/>
          <w:szCs w:val="22"/>
        </w:rPr>
        <w:t xml:space="preserve">Au-delà des différentes sources possibles de progrès technique et de stimulation de la croissance (lien 1), le principe central de ces modèles est que le progrès technique peut être alimenté par la croissance (lien 2) (il est donc endogène) et produit des effets externes qui soutiennent la croissance en retour (effets d’échelle, rendements croissants) (lien 1): un cercle vertueux s’enclenche qui produit une </w:t>
      </w:r>
      <w:r w:rsidRPr="00DD41BA">
        <w:rPr>
          <w:rFonts w:ascii="Arial" w:hAnsi="Arial" w:cs="Arial"/>
          <w:b/>
          <w:sz w:val="22"/>
          <w:szCs w:val="22"/>
        </w:rPr>
        <w:t>croissance endogène</w:t>
      </w:r>
      <w:r w:rsidRPr="00DD41BA">
        <w:rPr>
          <w:rFonts w:ascii="Arial" w:hAnsi="Arial" w:cs="Arial"/>
          <w:sz w:val="22"/>
          <w:szCs w:val="22"/>
        </w:rPr>
        <w:t>.</w:t>
      </w:r>
    </w:p>
    <w:p w14:paraId="260D4A33" w14:textId="77777777" w:rsidR="008B0E46" w:rsidRPr="00DD41BA" w:rsidRDefault="008B0E46" w:rsidP="008F306A">
      <w:pPr>
        <w:spacing w:before="120" w:after="120"/>
        <w:jc w:val="both"/>
        <w:rPr>
          <w:rFonts w:ascii="Arial" w:hAnsi="Arial" w:cs="Arial"/>
          <w:b/>
          <w:bCs/>
          <w:sz w:val="22"/>
          <w:szCs w:val="22"/>
        </w:rPr>
      </w:pPr>
      <w:r w:rsidRPr="00DD41BA">
        <w:rPr>
          <w:rFonts w:ascii="Arial" w:hAnsi="Arial" w:cs="Arial"/>
          <w:b/>
          <w:bCs/>
          <w:sz w:val="22"/>
          <w:szCs w:val="22"/>
        </w:rPr>
        <w:t xml:space="preserve">Différents modèles théoriques existent </w:t>
      </w:r>
      <w:r w:rsidRPr="00DD41BA">
        <w:rPr>
          <w:rFonts w:ascii="Arial" w:hAnsi="Arial" w:cs="Arial"/>
          <w:sz w:val="22"/>
          <w:szCs w:val="22"/>
        </w:rPr>
        <w:t>présentant chacun une forme particulière de PT, avec comme point commun que chacun fois la source du PT se trouve dans le processus de croissance : c’est un facteur endogène (généré par le processus) et qui produit des effets externes positifs qui alimentent ou accélèrent la croissance.</w:t>
      </w:r>
    </w:p>
    <w:p w14:paraId="66E45F51" w14:textId="77777777" w:rsidR="008B0E46" w:rsidRPr="00DD41BA" w:rsidRDefault="008B0E46" w:rsidP="008F306A">
      <w:pPr>
        <w:spacing w:before="120" w:after="120"/>
        <w:jc w:val="both"/>
        <w:rPr>
          <w:rFonts w:ascii="Arial" w:hAnsi="Arial" w:cs="Arial"/>
          <w:sz w:val="22"/>
          <w:szCs w:val="22"/>
        </w:rPr>
      </w:pPr>
      <w:r w:rsidRPr="00F4246B">
        <w:rPr>
          <w:rFonts w:ascii="Arial" w:hAnsi="Arial" w:cs="Arial"/>
          <w:b/>
          <w:sz w:val="22"/>
          <w:szCs w:val="22"/>
          <w:highlight w:val="yellow"/>
        </w:rPr>
        <w:t xml:space="preserve">Romer 1 (1986): </w:t>
      </w:r>
      <w:r w:rsidRPr="00F4246B">
        <w:rPr>
          <w:rFonts w:ascii="Arial" w:hAnsi="Arial" w:cs="Arial"/>
          <w:b/>
          <w:i/>
          <w:iCs/>
          <w:sz w:val="22"/>
          <w:szCs w:val="22"/>
          <w:highlight w:val="yellow"/>
        </w:rPr>
        <w:t>learning by doing</w:t>
      </w:r>
      <w:r w:rsidRPr="00F4246B">
        <w:rPr>
          <w:rFonts w:ascii="Arial" w:hAnsi="Arial" w:cs="Arial"/>
          <w:b/>
          <w:sz w:val="22"/>
          <w:szCs w:val="22"/>
        </w:rPr>
        <w:t xml:space="preserve"> </w:t>
      </w:r>
      <w:r w:rsidRPr="00DD41BA">
        <w:rPr>
          <w:rFonts w:ascii="Arial" w:hAnsi="Arial" w:cs="Arial"/>
          <w:sz w:val="22"/>
          <w:szCs w:val="22"/>
        </w:rPr>
        <w:t xml:space="preserve">(Arrow) associé aux investissements dans le </w:t>
      </w:r>
      <w:r w:rsidRPr="00DD41BA">
        <w:rPr>
          <w:rFonts w:ascii="Arial" w:hAnsi="Arial" w:cs="Arial"/>
          <w:b/>
          <w:bCs/>
          <w:sz w:val="22"/>
          <w:szCs w:val="22"/>
        </w:rPr>
        <w:t>Capital physique</w:t>
      </w:r>
      <w:r w:rsidRPr="00DD41BA">
        <w:rPr>
          <w:rFonts w:ascii="Arial" w:hAnsi="Arial" w:cs="Arial"/>
          <w:sz w:val="22"/>
          <w:szCs w:val="22"/>
        </w:rPr>
        <w:t xml:space="preserve"> et au développement de la production de chaque firme </w:t>
      </w:r>
      <w:r w:rsidRPr="00DD41BA">
        <w:rPr>
          <w:rFonts w:ascii="Arial" w:hAnsi="Arial" w:cs="Arial"/>
          <w:sz w:val="22"/>
          <w:szCs w:val="22"/>
        </w:rPr>
        <w:sym w:font="Symbol" w:char="F0DE"/>
      </w:r>
      <w:r w:rsidRPr="00DD41BA">
        <w:rPr>
          <w:rFonts w:ascii="Arial" w:hAnsi="Arial" w:cs="Arial"/>
          <w:sz w:val="22"/>
          <w:szCs w:val="22"/>
        </w:rPr>
        <w:t xml:space="preserve"> diffusion à l’ensemble des firmes </w:t>
      </w:r>
      <w:r w:rsidRPr="00DD41BA">
        <w:rPr>
          <w:rFonts w:ascii="Arial" w:hAnsi="Arial" w:cs="Arial"/>
          <w:sz w:val="22"/>
          <w:szCs w:val="22"/>
        </w:rPr>
        <w:sym w:font="Symbol" w:char="F0DE"/>
      </w:r>
      <w:r w:rsidRPr="00DD41BA">
        <w:rPr>
          <w:rFonts w:ascii="Arial" w:hAnsi="Arial" w:cs="Arial"/>
          <w:sz w:val="22"/>
          <w:szCs w:val="22"/>
        </w:rPr>
        <w:t xml:space="preserve"> rendements d’échelle croissants et effets d’apprentissage pour la firme mais également pour l’ensemble de l’économie.</w:t>
      </w:r>
    </w:p>
    <w:p w14:paraId="622989A1" w14:textId="77777777" w:rsidR="008B0E46" w:rsidRPr="00DD41BA" w:rsidRDefault="008B0E46" w:rsidP="008F306A">
      <w:pPr>
        <w:spacing w:before="120" w:after="120"/>
        <w:jc w:val="both"/>
        <w:rPr>
          <w:rFonts w:ascii="Arial" w:hAnsi="Arial" w:cs="Arial"/>
          <w:sz w:val="22"/>
          <w:szCs w:val="22"/>
        </w:rPr>
      </w:pPr>
      <w:r w:rsidRPr="00F4246B">
        <w:rPr>
          <w:rFonts w:ascii="Arial" w:hAnsi="Arial" w:cs="Arial"/>
          <w:b/>
          <w:sz w:val="22"/>
          <w:szCs w:val="22"/>
          <w:highlight w:val="yellow"/>
        </w:rPr>
        <w:t>Lucas (1987) :</w:t>
      </w:r>
      <w:r w:rsidRPr="00F4246B">
        <w:rPr>
          <w:rFonts w:ascii="Arial" w:hAnsi="Arial" w:cs="Arial"/>
          <w:sz w:val="22"/>
          <w:szCs w:val="22"/>
          <w:highlight w:val="yellow"/>
        </w:rPr>
        <w:t xml:space="preserve"> rendements constants dans la production de </w:t>
      </w:r>
      <w:r w:rsidRPr="00F4246B">
        <w:rPr>
          <w:rFonts w:ascii="Arial" w:hAnsi="Arial" w:cs="Arial"/>
          <w:b/>
          <w:bCs/>
          <w:sz w:val="22"/>
          <w:szCs w:val="22"/>
          <w:highlight w:val="yellow"/>
        </w:rPr>
        <w:t>capital humain</w:t>
      </w:r>
      <w:r w:rsidRPr="00DD41BA">
        <w:rPr>
          <w:rFonts w:ascii="Arial" w:hAnsi="Arial" w:cs="Arial"/>
          <w:sz w:val="22"/>
          <w:szCs w:val="22"/>
        </w:rPr>
        <w:t xml:space="preserve"> au niveau individuel et collectif </w:t>
      </w:r>
      <w:r w:rsidRPr="00DD41BA">
        <w:rPr>
          <w:rFonts w:ascii="Arial" w:hAnsi="Arial" w:cs="Arial"/>
          <w:sz w:val="22"/>
          <w:szCs w:val="22"/>
        </w:rPr>
        <w:sym w:font="Symbol" w:char="F0DE"/>
      </w:r>
      <w:r w:rsidRPr="00DD41BA">
        <w:rPr>
          <w:rFonts w:ascii="Arial" w:hAnsi="Arial" w:cs="Arial"/>
          <w:sz w:val="22"/>
          <w:szCs w:val="22"/>
        </w:rPr>
        <w:t xml:space="preserve"> croissance endogène de la production (qui incorpore le capital humain) </w:t>
      </w:r>
      <w:r w:rsidRPr="00DD41BA">
        <w:rPr>
          <w:rFonts w:ascii="Arial" w:hAnsi="Arial" w:cs="Arial"/>
          <w:sz w:val="22"/>
          <w:szCs w:val="22"/>
        </w:rPr>
        <w:sym w:font="Symbol" w:char="F0DE"/>
      </w:r>
      <w:r w:rsidRPr="00DD41BA">
        <w:rPr>
          <w:rFonts w:ascii="Arial" w:hAnsi="Arial" w:cs="Arial"/>
          <w:sz w:val="22"/>
          <w:szCs w:val="22"/>
        </w:rPr>
        <w:t xml:space="preserve"> et plus de développement économique implique plus d’investissements dans l’éducation et la santé (G. Becker).</w:t>
      </w:r>
    </w:p>
    <w:p w14:paraId="6E91D235" w14:textId="77777777" w:rsidR="008B0E46" w:rsidRPr="00DD41BA" w:rsidRDefault="008B0E46" w:rsidP="008F306A">
      <w:pPr>
        <w:spacing w:before="120" w:after="120"/>
        <w:jc w:val="both"/>
        <w:rPr>
          <w:rFonts w:ascii="Arial" w:hAnsi="Arial" w:cs="Arial"/>
          <w:sz w:val="22"/>
          <w:szCs w:val="22"/>
        </w:rPr>
      </w:pPr>
      <w:r w:rsidRPr="00F4246B">
        <w:rPr>
          <w:rFonts w:ascii="Arial" w:hAnsi="Arial" w:cs="Arial"/>
          <w:b/>
          <w:sz w:val="22"/>
          <w:szCs w:val="22"/>
          <w:highlight w:val="yellow"/>
        </w:rPr>
        <w:t xml:space="preserve">Barro (1990) : </w:t>
      </w:r>
      <w:r w:rsidRPr="00F4246B">
        <w:rPr>
          <w:rFonts w:ascii="Arial" w:hAnsi="Arial" w:cs="Arial"/>
          <w:sz w:val="22"/>
          <w:szCs w:val="22"/>
          <w:highlight w:val="yellow"/>
        </w:rPr>
        <w:t>Infrastructures (</w:t>
      </w:r>
      <w:r w:rsidRPr="00F4246B">
        <w:rPr>
          <w:rFonts w:ascii="Arial" w:hAnsi="Arial" w:cs="Arial"/>
          <w:b/>
          <w:bCs/>
          <w:sz w:val="22"/>
          <w:szCs w:val="22"/>
          <w:highlight w:val="yellow"/>
        </w:rPr>
        <w:t>Capital public</w:t>
      </w:r>
      <w:r w:rsidRPr="00F4246B">
        <w:rPr>
          <w:rFonts w:ascii="Arial" w:hAnsi="Arial" w:cs="Arial"/>
          <w:sz w:val="22"/>
          <w:szCs w:val="22"/>
          <w:highlight w:val="yellow"/>
        </w:rPr>
        <w:t>)</w:t>
      </w:r>
      <w:r w:rsidRPr="00DD41BA">
        <w:rPr>
          <w:rFonts w:ascii="Arial" w:hAnsi="Arial" w:cs="Arial"/>
          <w:sz w:val="22"/>
          <w:szCs w:val="22"/>
        </w:rPr>
        <w:t xml:space="preserve"> </w:t>
      </w:r>
      <w:r w:rsidRPr="00DD41BA">
        <w:rPr>
          <w:rFonts w:ascii="Arial" w:hAnsi="Arial" w:cs="Arial"/>
          <w:sz w:val="22"/>
          <w:szCs w:val="22"/>
        </w:rPr>
        <w:sym w:font="Symbol" w:char="F0DE"/>
      </w:r>
      <w:r w:rsidRPr="00DD41BA">
        <w:rPr>
          <w:rFonts w:ascii="Arial" w:hAnsi="Arial" w:cs="Arial"/>
          <w:sz w:val="22"/>
          <w:szCs w:val="22"/>
        </w:rPr>
        <w:t xml:space="preserve"> externalités </w:t>
      </w:r>
      <w:r w:rsidRPr="00DD41BA">
        <w:rPr>
          <w:rFonts w:ascii="Arial" w:hAnsi="Arial" w:cs="Arial"/>
          <w:sz w:val="22"/>
          <w:szCs w:val="22"/>
        </w:rPr>
        <w:sym w:font="Symbol" w:char="F0DE"/>
      </w:r>
      <w:r w:rsidRPr="00DD41BA">
        <w:rPr>
          <w:rFonts w:ascii="Arial" w:hAnsi="Arial" w:cs="Arial"/>
          <w:sz w:val="22"/>
          <w:szCs w:val="22"/>
        </w:rPr>
        <w:t xml:space="preserve"> rendements croissants</w:t>
      </w:r>
    </w:p>
    <w:p w14:paraId="6B3A2A98" w14:textId="77777777" w:rsidR="008B0E46" w:rsidRPr="00DD41BA" w:rsidRDefault="008B0E46" w:rsidP="008F306A">
      <w:pPr>
        <w:spacing w:before="120" w:after="120"/>
        <w:jc w:val="both"/>
        <w:rPr>
          <w:rFonts w:ascii="Arial" w:hAnsi="Arial" w:cs="Arial"/>
          <w:sz w:val="22"/>
          <w:szCs w:val="22"/>
        </w:rPr>
      </w:pPr>
      <w:r w:rsidRPr="00F4246B">
        <w:rPr>
          <w:rFonts w:ascii="Arial" w:hAnsi="Arial" w:cs="Arial"/>
          <w:b/>
          <w:sz w:val="22"/>
          <w:szCs w:val="22"/>
          <w:highlight w:val="yellow"/>
        </w:rPr>
        <w:t>Romer 2 (1989):</w:t>
      </w:r>
      <w:r w:rsidRPr="00F4246B">
        <w:rPr>
          <w:rFonts w:ascii="Arial" w:hAnsi="Arial" w:cs="Arial"/>
          <w:sz w:val="22"/>
          <w:szCs w:val="22"/>
          <w:highlight w:val="yellow"/>
        </w:rPr>
        <w:t xml:space="preserve"> R&amp;D</w:t>
      </w:r>
      <w:r w:rsidRPr="00DD41BA">
        <w:rPr>
          <w:rFonts w:ascii="Arial" w:hAnsi="Arial" w:cs="Arial"/>
          <w:sz w:val="22"/>
          <w:szCs w:val="22"/>
        </w:rPr>
        <w:t xml:space="preserve"> </w:t>
      </w:r>
      <w:r w:rsidRPr="00DD41BA">
        <w:rPr>
          <w:rFonts w:ascii="Arial" w:hAnsi="Arial" w:cs="Arial"/>
          <w:sz w:val="22"/>
          <w:szCs w:val="22"/>
        </w:rPr>
        <w:sym w:font="Symbol" w:char="F0DE"/>
      </w:r>
      <w:r w:rsidRPr="00DD41BA">
        <w:rPr>
          <w:rFonts w:ascii="Arial" w:hAnsi="Arial" w:cs="Arial"/>
          <w:sz w:val="22"/>
          <w:szCs w:val="22"/>
        </w:rPr>
        <w:t xml:space="preserve"> externalités </w:t>
      </w:r>
      <w:r w:rsidRPr="00DD41BA">
        <w:rPr>
          <w:rFonts w:ascii="Arial" w:hAnsi="Arial" w:cs="Arial"/>
          <w:sz w:val="22"/>
          <w:szCs w:val="22"/>
        </w:rPr>
        <w:sym w:font="Symbol" w:char="F0DE"/>
      </w:r>
      <w:r w:rsidRPr="00DD41BA">
        <w:rPr>
          <w:rFonts w:ascii="Arial" w:hAnsi="Arial" w:cs="Arial"/>
          <w:sz w:val="22"/>
          <w:szCs w:val="22"/>
        </w:rPr>
        <w:t xml:space="preserve"> rendements croissants</w:t>
      </w:r>
    </w:p>
    <w:p w14:paraId="3181066D" w14:textId="77777777" w:rsidR="008B0E46" w:rsidRPr="00DD41BA" w:rsidRDefault="008B0E46" w:rsidP="008F306A">
      <w:pPr>
        <w:spacing w:before="120" w:after="120"/>
        <w:jc w:val="both"/>
        <w:rPr>
          <w:rFonts w:ascii="Arial" w:hAnsi="Arial" w:cs="Arial"/>
          <w:sz w:val="22"/>
          <w:szCs w:val="22"/>
        </w:rPr>
      </w:pPr>
      <w:r w:rsidRPr="00DD41BA">
        <w:rPr>
          <w:rFonts w:ascii="Arial" w:hAnsi="Arial" w:cs="Arial"/>
          <w:sz w:val="22"/>
          <w:szCs w:val="22"/>
        </w:rPr>
        <w:t>Ces derniers modèles sont les plus nombreux et les plus intéressants car ils permettent d’expliquer que la croissance et le progrès technique sont des conséquences des choix et des stratégies rationnelles des acteurs et non des phénomènes naturels.</w:t>
      </w:r>
    </w:p>
    <w:p w14:paraId="3DE04B28" w14:textId="77777777" w:rsidR="008B0E46" w:rsidRPr="00DD41BA" w:rsidRDefault="008B0E46" w:rsidP="008F306A">
      <w:pPr>
        <w:spacing w:before="120" w:after="120"/>
        <w:jc w:val="both"/>
        <w:rPr>
          <w:rFonts w:ascii="Arial" w:hAnsi="Arial" w:cs="Arial"/>
          <w:sz w:val="22"/>
          <w:szCs w:val="22"/>
        </w:rPr>
      </w:pPr>
      <w:r w:rsidRPr="00DD41BA">
        <w:rPr>
          <w:rFonts w:ascii="Arial" w:hAnsi="Arial" w:cs="Arial"/>
          <w:sz w:val="22"/>
          <w:szCs w:val="22"/>
        </w:rPr>
        <w:t>La théorie de la croissance endogène a donc démontré que la croissance dépend de façon centrale du progrès technique qui lui-même dépend d’un ensemble d’autres facteurs internes au modèle : le capital humain (Lucas), les infrastructures (Barro), la R&amp;D (Romer). Puisque les politiques publiques ont un impact sur ces facteurs, la croissance devient un phénomène contrôlable.</w:t>
      </w:r>
    </w:p>
    <w:p w14:paraId="60B002EA" w14:textId="77777777" w:rsidR="008B0E46" w:rsidRPr="0061365D" w:rsidRDefault="008B0E46" w:rsidP="008F306A">
      <w:pPr>
        <w:spacing w:before="120" w:after="120"/>
        <w:jc w:val="both"/>
        <w:rPr>
          <w:rFonts w:ascii="Arial" w:hAnsi="Arial" w:cs="Arial"/>
          <w:sz w:val="22"/>
          <w:szCs w:val="22"/>
        </w:rPr>
      </w:pPr>
      <w:r w:rsidRPr="00DD41BA">
        <w:rPr>
          <w:rFonts w:ascii="Arial" w:hAnsi="Arial" w:cs="Arial"/>
          <w:sz w:val="22"/>
          <w:szCs w:val="22"/>
        </w:rPr>
        <w:lastRenderedPageBreak/>
        <w:t xml:space="preserve">D’autres économistes ont toutefois souligné l’importance de la distribution des gains de productivité associés à la croissance pour garantir sa stabilité et sa régularité (Ashkenazy et Boyer). </w:t>
      </w:r>
    </w:p>
    <w:p w14:paraId="5B6CAC7D" w14:textId="77777777" w:rsidR="008B0E46" w:rsidRPr="00DD41BA" w:rsidRDefault="008B0E46" w:rsidP="008B0E46">
      <w:pPr>
        <w:spacing w:before="120" w:after="120"/>
        <w:ind w:left="62"/>
        <w:jc w:val="both"/>
        <w:rPr>
          <w:rFonts w:ascii="Arial" w:hAnsi="Arial" w:cs="Arial"/>
          <w:sz w:val="22"/>
          <w:szCs w:val="22"/>
        </w:rPr>
      </w:pPr>
      <w:r>
        <w:rPr>
          <w:rFonts w:ascii="Arial" w:hAnsi="Arial" w:cs="Arial"/>
          <w:sz w:val="22"/>
          <w:szCs w:val="22"/>
        </w:rPr>
        <w:t>Contrairement au modèle de croissance exogène, les modèles de croissance endogène permettent</w:t>
      </w:r>
      <w:r w:rsidRPr="00DD41BA">
        <w:rPr>
          <w:rFonts w:ascii="Arial" w:hAnsi="Arial" w:cs="Arial"/>
          <w:sz w:val="22"/>
          <w:szCs w:val="22"/>
        </w:rPr>
        <w:t xml:space="preserve"> </w:t>
      </w:r>
      <w:r>
        <w:rPr>
          <w:rFonts w:ascii="Arial" w:hAnsi="Arial" w:cs="Arial"/>
          <w:sz w:val="22"/>
          <w:szCs w:val="22"/>
        </w:rPr>
        <w:t>d’</w:t>
      </w:r>
      <w:r w:rsidRPr="00DD41BA">
        <w:rPr>
          <w:rFonts w:ascii="Arial" w:hAnsi="Arial" w:cs="Arial"/>
          <w:sz w:val="22"/>
          <w:szCs w:val="22"/>
        </w:rPr>
        <w:t xml:space="preserve">expliquer </w:t>
      </w:r>
      <w:r>
        <w:rPr>
          <w:rFonts w:ascii="Arial" w:hAnsi="Arial" w:cs="Arial"/>
          <w:sz w:val="22"/>
          <w:szCs w:val="22"/>
        </w:rPr>
        <w:t xml:space="preserve">la divergence car il suffit d’être entré plus tôt dans une trajectoire de croissance endogène pour garder et accroître son avantage par rapport aux pays en retard, en termes de productivité et de coûts. </w:t>
      </w:r>
    </w:p>
    <w:p w14:paraId="73221D4F" w14:textId="77777777" w:rsidR="008B0E46" w:rsidRDefault="008B0E46" w:rsidP="008B0E46">
      <w:pPr>
        <w:spacing w:before="120" w:after="120"/>
        <w:ind w:left="62"/>
        <w:jc w:val="both"/>
        <w:rPr>
          <w:rFonts w:ascii="Arial" w:hAnsi="Arial" w:cs="Arial"/>
          <w:sz w:val="22"/>
          <w:szCs w:val="22"/>
        </w:rPr>
      </w:pPr>
      <w:r w:rsidRPr="00DD41BA">
        <w:rPr>
          <w:rFonts w:ascii="Arial" w:hAnsi="Arial" w:cs="Arial"/>
          <w:sz w:val="22"/>
          <w:szCs w:val="22"/>
        </w:rPr>
        <w:t xml:space="preserve">Les théories de la croissance endogène qui redonnent une place centrale au progrès technique dans la dynamique économique permet de mieux comprendre l’accroissement de  ces différences de développement. </w:t>
      </w:r>
    </w:p>
    <w:p w14:paraId="7ECB6119" w14:textId="77777777" w:rsidR="00CB7873" w:rsidRDefault="00CB7873" w:rsidP="008B0E46">
      <w:pPr>
        <w:spacing w:before="120" w:after="120"/>
        <w:ind w:left="62"/>
        <w:jc w:val="both"/>
        <w:rPr>
          <w:rFonts w:ascii="Arial" w:hAnsi="Arial" w:cs="Arial"/>
          <w:b/>
          <w:sz w:val="22"/>
          <w:szCs w:val="22"/>
        </w:rPr>
      </w:pPr>
    </w:p>
    <w:p w14:paraId="5B58F098" w14:textId="77777777" w:rsidR="008B0E46" w:rsidRDefault="008B0E46" w:rsidP="008B0E46">
      <w:pPr>
        <w:spacing w:before="120" w:after="120"/>
        <w:ind w:left="62"/>
        <w:jc w:val="both"/>
        <w:rPr>
          <w:rFonts w:ascii="Arial" w:hAnsi="Arial" w:cs="Arial"/>
          <w:b/>
          <w:sz w:val="22"/>
          <w:szCs w:val="22"/>
        </w:rPr>
      </w:pPr>
      <w:r w:rsidRPr="00A21F73">
        <w:rPr>
          <w:rFonts w:ascii="Arial" w:hAnsi="Arial" w:cs="Arial"/>
          <w:b/>
          <w:sz w:val="22"/>
          <w:szCs w:val="22"/>
        </w:rPr>
        <w:t xml:space="preserve">Conclusion : </w:t>
      </w:r>
      <w:r>
        <w:rPr>
          <w:rFonts w:ascii="Arial" w:hAnsi="Arial" w:cs="Arial"/>
          <w:b/>
          <w:sz w:val="22"/>
          <w:szCs w:val="22"/>
        </w:rPr>
        <w:t>Les</w:t>
      </w:r>
      <w:r w:rsidRPr="00A21F73">
        <w:rPr>
          <w:rFonts w:ascii="Arial" w:hAnsi="Arial" w:cs="Arial"/>
          <w:b/>
          <w:sz w:val="22"/>
          <w:szCs w:val="22"/>
        </w:rPr>
        <w:t xml:space="preserve"> faits </w:t>
      </w:r>
      <w:r>
        <w:rPr>
          <w:rFonts w:ascii="Arial" w:hAnsi="Arial" w:cs="Arial"/>
          <w:b/>
          <w:sz w:val="22"/>
          <w:szCs w:val="22"/>
        </w:rPr>
        <w:t>stylisés de la croissance mondialisée</w:t>
      </w:r>
    </w:p>
    <w:p w14:paraId="7E12E270" w14:textId="77777777" w:rsidR="00CB7873" w:rsidRPr="00CB7873" w:rsidRDefault="00CB7873" w:rsidP="00CB7873">
      <w:pPr>
        <w:numPr>
          <w:ilvl w:val="0"/>
          <w:numId w:val="29"/>
        </w:numPr>
        <w:spacing w:before="120" w:after="120"/>
        <w:jc w:val="both"/>
        <w:rPr>
          <w:rFonts w:ascii="Arial" w:hAnsi="Arial" w:cs="Arial"/>
          <w:b/>
          <w:sz w:val="22"/>
          <w:szCs w:val="22"/>
        </w:rPr>
      </w:pPr>
      <w:r>
        <w:rPr>
          <w:rFonts w:ascii="Arial" w:hAnsi="Arial" w:cs="Arial"/>
          <w:sz w:val="22"/>
          <w:szCs w:val="22"/>
        </w:rPr>
        <w:t>De très grandes différences de revenu moyen, de productivité globale des facteurs et de croissance du PIB demeurent à travers le monde ; elles ont même augmenté depuis la mondialisation.</w:t>
      </w:r>
    </w:p>
    <w:p w14:paraId="3585E01E" w14:textId="77777777" w:rsidR="00CB7873" w:rsidRPr="00CB7873" w:rsidRDefault="00CB7873" w:rsidP="00CB7873">
      <w:pPr>
        <w:numPr>
          <w:ilvl w:val="0"/>
          <w:numId w:val="29"/>
        </w:numPr>
        <w:spacing w:before="120" w:after="120"/>
        <w:jc w:val="both"/>
        <w:rPr>
          <w:rFonts w:ascii="Arial" w:hAnsi="Arial" w:cs="Arial"/>
          <w:b/>
          <w:sz w:val="22"/>
          <w:szCs w:val="22"/>
        </w:rPr>
      </w:pPr>
      <w:r>
        <w:rPr>
          <w:rFonts w:ascii="Arial" w:hAnsi="Arial" w:cs="Arial"/>
          <w:sz w:val="22"/>
          <w:szCs w:val="22"/>
        </w:rPr>
        <w:t>L’augmentation de la taille des marchés et de la circulation des biens, du capital et des idées a modifié les déterminants de la croissance. Aujourd’hui, la croissance dépend plus que jamais des idées, de l’innovation et du capital humain dont les rendements sont croissants lorsque la taille des marchés augmente.</w:t>
      </w:r>
    </w:p>
    <w:p w14:paraId="6BF3BB6F" w14:textId="77777777" w:rsidR="00CB7873" w:rsidRDefault="00CB7873" w:rsidP="00CB7873">
      <w:pPr>
        <w:numPr>
          <w:ilvl w:val="1"/>
          <w:numId w:val="30"/>
        </w:numPr>
        <w:spacing w:before="120" w:after="120"/>
        <w:jc w:val="both"/>
        <w:rPr>
          <w:rFonts w:ascii="Arial" w:hAnsi="Arial" w:cs="Arial"/>
          <w:sz w:val="22"/>
          <w:szCs w:val="22"/>
        </w:rPr>
      </w:pPr>
      <w:r>
        <w:rPr>
          <w:rFonts w:ascii="Arial" w:hAnsi="Arial" w:cs="Arial"/>
          <w:sz w:val="22"/>
          <w:szCs w:val="22"/>
        </w:rPr>
        <w:t>L’augmentation du ratio K/L a également été soutenue et le sera surtout dans les économies en développement dans les années à venir.</w:t>
      </w:r>
    </w:p>
    <w:p w14:paraId="006A77AE" w14:textId="77777777" w:rsidR="00CB7873" w:rsidRDefault="00CB7873" w:rsidP="00CB7873">
      <w:pPr>
        <w:numPr>
          <w:ilvl w:val="1"/>
          <w:numId w:val="30"/>
        </w:numPr>
        <w:spacing w:before="120" w:after="120"/>
        <w:jc w:val="both"/>
        <w:rPr>
          <w:rFonts w:ascii="Arial" w:hAnsi="Arial" w:cs="Arial"/>
          <w:sz w:val="22"/>
          <w:szCs w:val="22"/>
        </w:rPr>
      </w:pPr>
      <w:r>
        <w:rPr>
          <w:rFonts w:ascii="Arial" w:hAnsi="Arial" w:cs="Arial"/>
          <w:sz w:val="22"/>
          <w:szCs w:val="22"/>
        </w:rPr>
        <w:t>Les ratios capital humain/ travail ont augmenté partout, mais leur hétérogénéité explique une grande partie des écarts de productivité et de revenu par tête.</w:t>
      </w:r>
    </w:p>
    <w:p w14:paraId="0F7E067C" w14:textId="77777777" w:rsidR="008B0E46" w:rsidRPr="005068E1" w:rsidRDefault="008B0E46" w:rsidP="00CB7873">
      <w:pPr>
        <w:numPr>
          <w:ilvl w:val="1"/>
          <w:numId w:val="30"/>
        </w:numPr>
        <w:spacing w:before="120" w:after="120"/>
        <w:jc w:val="both"/>
        <w:rPr>
          <w:rFonts w:ascii="Arial" w:hAnsi="Arial" w:cs="Arial"/>
          <w:sz w:val="22"/>
          <w:szCs w:val="22"/>
        </w:rPr>
      </w:pPr>
      <w:r w:rsidRPr="005068E1">
        <w:rPr>
          <w:rFonts w:ascii="Arial" w:hAnsi="Arial" w:cs="Arial"/>
          <w:sz w:val="22"/>
          <w:szCs w:val="22"/>
        </w:rPr>
        <w:t xml:space="preserve">Augmentation de la productivité </w:t>
      </w:r>
      <w:r w:rsidR="00CB7873">
        <w:rPr>
          <w:rFonts w:ascii="Arial" w:hAnsi="Arial" w:cs="Arial"/>
          <w:sz w:val="22"/>
          <w:szCs w:val="22"/>
        </w:rPr>
        <w:t>des facteurs</w:t>
      </w:r>
      <w:r w:rsidRPr="005068E1">
        <w:rPr>
          <w:rFonts w:ascii="Arial" w:hAnsi="Arial" w:cs="Arial"/>
          <w:sz w:val="22"/>
          <w:szCs w:val="22"/>
        </w:rPr>
        <w:t xml:space="preserve"> </w:t>
      </w:r>
      <w:r w:rsidR="00CB7873">
        <w:rPr>
          <w:rFonts w:ascii="Arial" w:hAnsi="Arial" w:cs="Arial"/>
          <w:sz w:val="22"/>
          <w:szCs w:val="22"/>
        </w:rPr>
        <w:t>est restée</w:t>
      </w:r>
      <w:r w:rsidRPr="005068E1">
        <w:rPr>
          <w:rFonts w:ascii="Arial" w:hAnsi="Arial" w:cs="Arial"/>
          <w:sz w:val="22"/>
          <w:szCs w:val="22"/>
        </w:rPr>
        <w:t xml:space="preserve"> soutenue </w:t>
      </w:r>
      <w:r>
        <w:rPr>
          <w:rFonts w:ascii="Arial" w:hAnsi="Arial" w:cs="Arial"/>
          <w:sz w:val="22"/>
          <w:szCs w:val="22"/>
        </w:rPr>
        <w:t xml:space="preserve">dans les pays développés </w:t>
      </w:r>
      <w:r w:rsidRPr="005068E1">
        <w:rPr>
          <w:rFonts w:ascii="Arial" w:hAnsi="Arial" w:cs="Arial"/>
          <w:sz w:val="22"/>
          <w:szCs w:val="22"/>
        </w:rPr>
        <w:t>et le reste</w:t>
      </w:r>
      <w:r w:rsidR="00CB7873">
        <w:rPr>
          <w:rFonts w:ascii="Arial" w:hAnsi="Arial" w:cs="Arial"/>
          <w:sz w:val="22"/>
          <w:szCs w:val="22"/>
        </w:rPr>
        <w:t>ra</w:t>
      </w:r>
      <w:r w:rsidRPr="005068E1">
        <w:rPr>
          <w:rFonts w:ascii="Arial" w:hAnsi="Arial" w:cs="Arial"/>
          <w:sz w:val="22"/>
          <w:szCs w:val="22"/>
        </w:rPr>
        <w:t xml:space="preserve"> </w:t>
      </w:r>
      <w:r>
        <w:rPr>
          <w:rFonts w:ascii="Arial" w:hAnsi="Arial" w:cs="Arial"/>
          <w:sz w:val="22"/>
          <w:szCs w:val="22"/>
        </w:rPr>
        <w:t>dans l’ensemble de l’économie mondiale.</w:t>
      </w:r>
    </w:p>
    <w:p w14:paraId="70CB8655" w14:textId="77777777" w:rsidR="008B0E46" w:rsidRDefault="008B0E46" w:rsidP="00CB7873">
      <w:pPr>
        <w:numPr>
          <w:ilvl w:val="1"/>
          <w:numId w:val="30"/>
        </w:numPr>
        <w:spacing w:before="120" w:after="120"/>
        <w:jc w:val="both"/>
        <w:rPr>
          <w:rFonts w:ascii="Arial" w:hAnsi="Arial" w:cs="Arial"/>
          <w:sz w:val="22"/>
          <w:szCs w:val="22"/>
        </w:rPr>
      </w:pPr>
      <w:r>
        <w:rPr>
          <w:rFonts w:ascii="Arial" w:hAnsi="Arial" w:cs="Arial"/>
          <w:sz w:val="22"/>
          <w:szCs w:val="22"/>
        </w:rPr>
        <w:t>Les différences dans la quantité de</w:t>
      </w:r>
      <w:r w:rsidR="00CB7873">
        <w:rPr>
          <w:rFonts w:ascii="Arial" w:hAnsi="Arial" w:cs="Arial"/>
          <w:sz w:val="22"/>
          <w:szCs w:val="22"/>
        </w:rPr>
        <w:t xml:space="preserve">s inputs (capital et travail) </w:t>
      </w:r>
      <w:r>
        <w:rPr>
          <w:rFonts w:ascii="Arial" w:hAnsi="Arial" w:cs="Arial"/>
          <w:sz w:val="22"/>
          <w:szCs w:val="22"/>
        </w:rPr>
        <w:t xml:space="preserve">expliquent </w:t>
      </w:r>
      <w:r w:rsidR="00CB7873">
        <w:rPr>
          <w:rFonts w:ascii="Arial" w:hAnsi="Arial" w:cs="Arial"/>
          <w:sz w:val="22"/>
          <w:szCs w:val="22"/>
        </w:rPr>
        <w:t>moins de</w:t>
      </w:r>
      <w:r>
        <w:rPr>
          <w:rFonts w:ascii="Arial" w:hAnsi="Arial" w:cs="Arial"/>
          <w:sz w:val="22"/>
          <w:szCs w:val="22"/>
        </w:rPr>
        <w:t xml:space="preserve"> la moitié des différences internationales de PIB/tête.</w:t>
      </w:r>
      <w:r w:rsidR="00CB7873">
        <w:rPr>
          <w:rFonts w:ascii="Arial" w:hAnsi="Arial" w:cs="Arial"/>
          <w:sz w:val="22"/>
          <w:szCs w:val="22"/>
        </w:rPr>
        <w:t xml:space="preserve"> Les différences de qualité des inputs (capital humain, niveau technologique des équipements productifs, organisation</w:t>
      </w:r>
      <w:r w:rsidR="00260CED">
        <w:rPr>
          <w:rFonts w:ascii="Arial" w:hAnsi="Arial" w:cs="Arial"/>
          <w:sz w:val="22"/>
          <w:szCs w:val="22"/>
        </w:rPr>
        <w:t xml:space="preserve">) expliqueront de plus en plus </w:t>
      </w:r>
      <w:r w:rsidR="00CB7873">
        <w:rPr>
          <w:rFonts w:ascii="Arial" w:hAnsi="Arial" w:cs="Arial"/>
          <w:sz w:val="22"/>
          <w:szCs w:val="22"/>
        </w:rPr>
        <w:t xml:space="preserve">ces différences de revenu moyen. </w:t>
      </w:r>
    </w:p>
    <w:p w14:paraId="4AED5491" w14:textId="77777777" w:rsidR="00260CED" w:rsidRDefault="00CB7873" w:rsidP="008F306A">
      <w:pPr>
        <w:numPr>
          <w:ilvl w:val="0"/>
          <w:numId w:val="29"/>
        </w:numPr>
        <w:spacing w:before="120" w:after="120"/>
        <w:jc w:val="both"/>
        <w:rPr>
          <w:rFonts w:ascii="Arial" w:hAnsi="Arial" w:cs="Arial"/>
          <w:b/>
          <w:sz w:val="22"/>
          <w:szCs w:val="22"/>
        </w:rPr>
      </w:pPr>
      <w:r>
        <w:rPr>
          <w:rFonts w:ascii="Arial" w:hAnsi="Arial" w:cs="Arial"/>
          <w:sz w:val="22"/>
          <w:szCs w:val="22"/>
        </w:rPr>
        <w:t>En conséquence, l</w:t>
      </w:r>
      <w:r w:rsidR="008B0E46">
        <w:rPr>
          <w:rFonts w:ascii="Arial" w:hAnsi="Arial" w:cs="Arial"/>
          <w:sz w:val="22"/>
          <w:szCs w:val="22"/>
        </w:rPr>
        <w:t>es rémunérations du travail qualifié ont partout augmenté plus vite que celles du travail non qualifié, en raison du biais favorisant les qualifications associé</w:t>
      </w:r>
      <w:r w:rsidR="00260CED">
        <w:rPr>
          <w:rFonts w:ascii="Arial" w:hAnsi="Arial" w:cs="Arial"/>
          <w:sz w:val="22"/>
          <w:szCs w:val="22"/>
        </w:rPr>
        <w:t>es</w:t>
      </w:r>
      <w:r w:rsidR="008B0E46">
        <w:rPr>
          <w:rFonts w:ascii="Arial" w:hAnsi="Arial" w:cs="Arial"/>
          <w:sz w:val="22"/>
          <w:szCs w:val="22"/>
        </w:rPr>
        <w:t xml:space="preserve"> à la mondialisation et aux changements technologiques.</w:t>
      </w:r>
    </w:p>
    <w:p w14:paraId="0DD20D47" w14:textId="77777777" w:rsidR="008F306A" w:rsidRPr="008F306A" w:rsidRDefault="008F306A" w:rsidP="008F306A">
      <w:pPr>
        <w:spacing w:before="120" w:after="120"/>
        <w:ind w:left="422"/>
        <w:jc w:val="both"/>
        <w:rPr>
          <w:rFonts w:ascii="Arial" w:hAnsi="Arial" w:cs="Arial"/>
          <w:b/>
          <w:sz w:val="22"/>
          <w:szCs w:val="22"/>
        </w:rPr>
      </w:pPr>
    </w:p>
    <w:p w14:paraId="4BD6E395" w14:textId="77777777" w:rsidR="008F306A" w:rsidRDefault="008F306A" w:rsidP="008F306A">
      <w:pPr>
        <w:jc w:val="center"/>
        <w:rPr>
          <w:rFonts w:ascii="Verdana" w:hAnsi="Verdana"/>
          <w:b/>
          <w:bCs/>
          <w:szCs w:val="22"/>
        </w:rPr>
      </w:pPr>
      <w:r>
        <w:rPr>
          <w:rFonts w:ascii="Verdana" w:hAnsi="Verdana"/>
          <w:b/>
          <w:bCs/>
          <w:szCs w:val="22"/>
        </w:rPr>
        <w:br w:type="page"/>
      </w:r>
    </w:p>
    <w:p w14:paraId="0DE5A75E" w14:textId="596C0A23" w:rsidR="008F306A" w:rsidRPr="00260CED" w:rsidRDefault="008F306A" w:rsidP="008F306A">
      <w:pPr>
        <w:jc w:val="center"/>
        <w:rPr>
          <w:rFonts w:ascii="Verdana" w:hAnsi="Verdana"/>
          <w:b/>
          <w:bCs/>
          <w:szCs w:val="22"/>
        </w:rPr>
      </w:pPr>
      <w:r w:rsidRPr="00260CED">
        <w:rPr>
          <w:rFonts w:ascii="Verdana" w:hAnsi="Verdana"/>
          <w:b/>
          <w:bCs/>
          <w:szCs w:val="22"/>
        </w:rPr>
        <w:lastRenderedPageBreak/>
        <w:t xml:space="preserve">Section 2 : </w:t>
      </w:r>
      <w:r w:rsidR="00353B4A">
        <w:rPr>
          <w:rFonts w:ascii="Verdana" w:hAnsi="Verdana"/>
          <w:b/>
          <w:bCs/>
          <w:szCs w:val="22"/>
        </w:rPr>
        <w:t>Croissance économique, progrès technique et inégalités</w:t>
      </w:r>
      <w:r w:rsidRPr="00260CED">
        <w:rPr>
          <w:rFonts w:ascii="Verdana" w:hAnsi="Verdana"/>
          <w:b/>
          <w:bCs/>
          <w:szCs w:val="22"/>
        </w:rPr>
        <w:t xml:space="preserve"> </w:t>
      </w:r>
    </w:p>
    <w:p w14:paraId="3E528BA1" w14:textId="77777777" w:rsidR="008F306A" w:rsidRDefault="008F306A" w:rsidP="008B0E46">
      <w:pPr>
        <w:spacing w:before="120" w:after="120"/>
        <w:jc w:val="both"/>
        <w:rPr>
          <w:rFonts w:ascii="Verdana" w:hAnsi="Verdana"/>
          <w:b/>
          <w:iCs/>
          <w:sz w:val="22"/>
          <w:szCs w:val="22"/>
        </w:rPr>
      </w:pPr>
    </w:p>
    <w:p w14:paraId="20CDB9A8" w14:textId="0F582CD0" w:rsidR="00353B4A" w:rsidRPr="00353B4A" w:rsidRDefault="00353B4A" w:rsidP="00CE4DB6">
      <w:pPr>
        <w:pStyle w:val="Pardeliste"/>
        <w:numPr>
          <w:ilvl w:val="0"/>
          <w:numId w:val="38"/>
        </w:numPr>
        <w:spacing w:before="120" w:after="240"/>
        <w:ind w:left="360"/>
        <w:jc w:val="both"/>
        <w:rPr>
          <w:rFonts w:ascii="Arial" w:hAnsi="Arial" w:cs="Arial"/>
          <w:b/>
          <w:szCs w:val="22"/>
        </w:rPr>
      </w:pPr>
      <w:r>
        <w:rPr>
          <w:rFonts w:ascii="Arial" w:hAnsi="Arial" w:cs="Arial"/>
          <w:b/>
          <w:szCs w:val="22"/>
        </w:rPr>
        <w:t>Progrès technique, changement structurel et croissance</w:t>
      </w:r>
    </w:p>
    <w:p w14:paraId="38A8B75A" w14:textId="77777777" w:rsidR="00353B4A" w:rsidRDefault="00353B4A" w:rsidP="00353B4A">
      <w:pPr>
        <w:pStyle w:val="Pardeliste"/>
        <w:spacing w:before="120" w:after="240"/>
        <w:ind w:left="360"/>
        <w:jc w:val="both"/>
        <w:rPr>
          <w:rFonts w:ascii="Verdana" w:hAnsi="Verdana"/>
          <w:b/>
          <w:bCs/>
          <w:sz w:val="22"/>
          <w:szCs w:val="20"/>
        </w:rPr>
      </w:pPr>
    </w:p>
    <w:p w14:paraId="5573A2C7" w14:textId="77ABCA32" w:rsidR="00CE4DB6" w:rsidRPr="00353B4A" w:rsidRDefault="00CE4DB6" w:rsidP="00353B4A">
      <w:pPr>
        <w:pStyle w:val="Pardeliste"/>
        <w:numPr>
          <w:ilvl w:val="3"/>
          <w:numId w:val="30"/>
        </w:numPr>
        <w:spacing w:before="120" w:after="240"/>
        <w:ind w:left="426"/>
        <w:jc w:val="both"/>
        <w:rPr>
          <w:rFonts w:ascii="Arial" w:hAnsi="Arial" w:cs="Arial"/>
          <w:b/>
          <w:szCs w:val="22"/>
        </w:rPr>
      </w:pPr>
      <w:r w:rsidRPr="00353B4A">
        <w:rPr>
          <w:rFonts w:ascii="Arial" w:hAnsi="Arial" w:cs="Arial"/>
          <w:b/>
          <w:bCs/>
          <w:sz w:val="22"/>
          <w:szCs w:val="20"/>
        </w:rPr>
        <w:t xml:space="preserve">Innovations et révolutions industrielles : la dynamique </w:t>
      </w:r>
      <w:r w:rsidR="00353B4A">
        <w:rPr>
          <w:rFonts w:ascii="Arial" w:hAnsi="Arial" w:cs="Arial"/>
          <w:b/>
          <w:bCs/>
          <w:sz w:val="22"/>
          <w:szCs w:val="20"/>
        </w:rPr>
        <w:t>cumulative du progrès technique, de la croissance et des changements structurels</w:t>
      </w:r>
    </w:p>
    <w:p w14:paraId="50389318" w14:textId="77777777" w:rsidR="00CE4DB6" w:rsidRPr="00DD41BA" w:rsidRDefault="00CE4DB6" w:rsidP="00CE4DB6">
      <w:pPr>
        <w:spacing w:before="120" w:after="240"/>
        <w:jc w:val="both"/>
        <w:rPr>
          <w:rFonts w:ascii="Arial" w:hAnsi="Arial" w:cs="Arial"/>
          <w:sz w:val="22"/>
          <w:szCs w:val="22"/>
        </w:rPr>
      </w:pPr>
      <w:r w:rsidRPr="00260CED">
        <w:rPr>
          <w:rFonts w:ascii="Arial" w:hAnsi="Arial" w:cs="Arial"/>
          <w:sz w:val="22"/>
          <w:szCs w:val="22"/>
        </w:rPr>
        <w:t>Le PT représente l’ensemble des innovations qui entraînent des transformations des méthodes, des équipements et de l’organisation de la production, mais également dans les produits, les marchés et les institutions.</w:t>
      </w:r>
    </w:p>
    <w:p w14:paraId="256FE1A7"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t>Comme il est incorporé à la fois dans le capital, le travail et leur combinaison, il se mesure dans les exercices de comptabilité de la croissance, comme le résidu des facteurs explicatifs de la croissance, une fois que les contributions de l’accumulation du capital et de  l’augmentation du travail ont été prises en compte.</w:t>
      </w:r>
    </w:p>
    <w:p w14:paraId="503086A7" w14:textId="77777777" w:rsidR="00CE4DB6" w:rsidRPr="00DD41BA" w:rsidRDefault="00CE4DB6" w:rsidP="00CE4DB6">
      <w:pPr>
        <w:jc w:val="both"/>
        <w:rPr>
          <w:rFonts w:ascii="Arial" w:hAnsi="Arial" w:cs="Arial"/>
          <w:sz w:val="22"/>
          <w:szCs w:val="22"/>
        </w:rPr>
      </w:pPr>
    </w:p>
    <w:p w14:paraId="70AA9D57"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t>Le progrès technique a été diversement pris en considération par les analyses économiques.</w:t>
      </w:r>
    </w:p>
    <w:p w14:paraId="5C63094A" w14:textId="77777777" w:rsidR="00CE4DB6" w:rsidRDefault="00CE4DB6" w:rsidP="00CE4DB6">
      <w:pPr>
        <w:spacing w:before="120" w:after="120"/>
        <w:jc w:val="both"/>
        <w:rPr>
          <w:rFonts w:ascii="Arial" w:hAnsi="Arial" w:cs="Arial"/>
          <w:sz w:val="22"/>
          <w:szCs w:val="22"/>
        </w:rPr>
      </w:pPr>
      <w:r w:rsidRPr="00DD41BA">
        <w:rPr>
          <w:rFonts w:ascii="Arial" w:hAnsi="Arial" w:cs="Arial"/>
          <w:sz w:val="22"/>
          <w:szCs w:val="22"/>
        </w:rPr>
        <w:t xml:space="preserve">Il est généralement considéré comme exogène et intégré comme une variable donnée et marginale dans l’explication de la croissance (modèles classique de Ricardo et Smith et modèle néo-classique de Solow) </w:t>
      </w:r>
    </w:p>
    <w:p w14:paraId="5E68514B" w14:textId="77777777" w:rsidR="00CE4DB6" w:rsidRDefault="00CE4DB6" w:rsidP="00CE4DB6">
      <w:pPr>
        <w:spacing w:before="120" w:after="120"/>
        <w:jc w:val="both"/>
        <w:rPr>
          <w:rFonts w:ascii="Arial" w:hAnsi="Arial" w:cs="Arial"/>
          <w:sz w:val="22"/>
          <w:szCs w:val="22"/>
        </w:rPr>
      </w:pPr>
      <w:r w:rsidRPr="00DD41BA">
        <w:rPr>
          <w:rFonts w:ascii="Arial" w:hAnsi="Arial" w:cs="Arial"/>
          <w:sz w:val="22"/>
          <w:szCs w:val="22"/>
        </w:rPr>
        <w:t>Rendements marginaux décroissants dans l’agriculture + loi de progression de la population lorsque salaire &gt; minimum de subsistance = baisse tendancielle du taux de profit et de l’investissement et donc de la croissance</w:t>
      </w:r>
    </w:p>
    <w:p w14:paraId="63039C49" w14:textId="77777777" w:rsidR="00CE4DB6" w:rsidRDefault="00CE4DB6" w:rsidP="00CE4DB6">
      <w:pPr>
        <w:spacing w:before="120" w:after="120"/>
        <w:jc w:val="both"/>
        <w:rPr>
          <w:rFonts w:ascii="Arial" w:hAnsi="Arial" w:cs="Arial"/>
          <w:sz w:val="22"/>
          <w:szCs w:val="22"/>
        </w:rPr>
      </w:pPr>
      <w:r w:rsidRPr="00F4246B">
        <w:rPr>
          <w:rFonts w:ascii="Arial" w:hAnsi="Arial" w:cs="Arial"/>
          <w:b/>
          <w:bCs/>
          <w:i/>
          <w:iCs/>
          <w:sz w:val="22"/>
          <w:szCs w:val="22"/>
        </w:rPr>
        <w:t xml:space="preserve">Dynamique du système classique : </w:t>
      </w:r>
      <w:r w:rsidRPr="00F4246B">
        <w:rPr>
          <w:rFonts w:ascii="Arial" w:hAnsi="Arial" w:cs="Arial"/>
          <w:sz w:val="22"/>
          <w:szCs w:val="22"/>
        </w:rPr>
        <w:t xml:space="preserve">Accumulation du capital </w:t>
      </w:r>
      <w:r w:rsidRPr="00DD41BA">
        <w:rPr>
          <w:rFonts w:ascii="Arial" w:hAnsi="Arial" w:cs="Arial"/>
          <w:sz w:val="22"/>
          <w:szCs w:val="22"/>
        </w:rPr>
        <w:sym w:font="Symbol" w:char="F0DE"/>
      </w:r>
      <w:r w:rsidRPr="00F4246B">
        <w:rPr>
          <w:rFonts w:ascii="Arial" w:hAnsi="Arial" w:cs="Arial"/>
          <w:sz w:val="22"/>
          <w:szCs w:val="22"/>
        </w:rPr>
        <w:t xml:space="preserve"> augmentation de la demande de travail </w:t>
      </w:r>
      <w:r w:rsidRPr="00DD41BA">
        <w:rPr>
          <w:rFonts w:ascii="Arial" w:hAnsi="Arial" w:cs="Arial"/>
          <w:sz w:val="22"/>
          <w:szCs w:val="22"/>
        </w:rPr>
        <w:sym w:font="Symbol" w:char="F0DE"/>
      </w:r>
      <w:r w:rsidRPr="00F4246B">
        <w:rPr>
          <w:rFonts w:ascii="Arial" w:hAnsi="Arial" w:cs="Arial"/>
          <w:sz w:val="22"/>
          <w:szCs w:val="22"/>
        </w:rPr>
        <w:t xml:space="preserve"> augmentation des salaires au dessus du minimum vital </w:t>
      </w:r>
      <w:r w:rsidRPr="00DD41BA">
        <w:rPr>
          <w:rFonts w:ascii="Arial" w:hAnsi="Arial" w:cs="Arial"/>
          <w:sz w:val="22"/>
          <w:szCs w:val="22"/>
        </w:rPr>
        <w:sym w:font="Symbol" w:char="F0DE"/>
      </w:r>
      <w:r w:rsidRPr="00F4246B">
        <w:rPr>
          <w:rFonts w:ascii="Arial" w:hAnsi="Arial" w:cs="Arial"/>
          <w:sz w:val="22"/>
          <w:szCs w:val="22"/>
        </w:rPr>
        <w:t xml:space="preserve"> ajustement par la croissance de la population </w:t>
      </w:r>
      <w:r w:rsidRPr="00DD41BA">
        <w:rPr>
          <w:rFonts w:ascii="Arial" w:hAnsi="Arial" w:cs="Arial"/>
          <w:sz w:val="22"/>
          <w:szCs w:val="22"/>
        </w:rPr>
        <w:sym w:font="Symbol" w:char="F0DE"/>
      </w:r>
      <w:r w:rsidRPr="00F4246B">
        <w:rPr>
          <w:rFonts w:ascii="Arial" w:hAnsi="Arial" w:cs="Arial"/>
          <w:sz w:val="22"/>
          <w:szCs w:val="22"/>
        </w:rPr>
        <w:t xml:space="preserve"> augmentation de la demande de grains </w:t>
      </w:r>
      <w:r w:rsidRPr="00DD41BA">
        <w:rPr>
          <w:rFonts w:ascii="Arial" w:hAnsi="Arial" w:cs="Arial"/>
          <w:sz w:val="22"/>
          <w:szCs w:val="22"/>
        </w:rPr>
        <w:sym w:font="Symbol" w:char="F0DE"/>
      </w:r>
      <w:r w:rsidRPr="00F4246B">
        <w:rPr>
          <w:rFonts w:ascii="Arial" w:hAnsi="Arial" w:cs="Arial"/>
          <w:sz w:val="22"/>
          <w:szCs w:val="22"/>
        </w:rPr>
        <w:t xml:space="preserve"> mise en culture des terres de moins en moins productives </w:t>
      </w:r>
      <w:r w:rsidRPr="00DD41BA">
        <w:rPr>
          <w:rFonts w:ascii="Arial" w:hAnsi="Arial" w:cs="Arial"/>
          <w:sz w:val="22"/>
          <w:szCs w:val="22"/>
        </w:rPr>
        <w:sym w:font="Symbol" w:char="F0DE"/>
      </w:r>
      <w:r w:rsidRPr="00F4246B">
        <w:rPr>
          <w:rFonts w:ascii="Arial" w:hAnsi="Arial" w:cs="Arial"/>
          <w:sz w:val="22"/>
          <w:szCs w:val="22"/>
        </w:rPr>
        <w:t xml:space="preserve"> augmentation des prix agricoles </w:t>
      </w:r>
      <w:r w:rsidRPr="00DD41BA">
        <w:rPr>
          <w:rFonts w:ascii="Arial" w:hAnsi="Arial" w:cs="Arial"/>
          <w:sz w:val="22"/>
          <w:szCs w:val="22"/>
        </w:rPr>
        <w:sym w:font="Symbol" w:char="F0DE"/>
      </w:r>
      <w:r w:rsidRPr="00F4246B">
        <w:rPr>
          <w:rFonts w:ascii="Arial" w:hAnsi="Arial" w:cs="Arial"/>
          <w:sz w:val="22"/>
          <w:szCs w:val="22"/>
        </w:rPr>
        <w:t xml:space="preserve"> augmentation de la rente agricole et des salaires de subsistance </w:t>
      </w:r>
      <w:r w:rsidRPr="00DD41BA">
        <w:rPr>
          <w:rFonts w:ascii="Arial" w:hAnsi="Arial" w:cs="Arial"/>
          <w:sz w:val="22"/>
          <w:szCs w:val="22"/>
        </w:rPr>
        <w:sym w:font="Symbol" w:char="F0DE"/>
      </w:r>
      <w:r w:rsidRPr="00F4246B">
        <w:rPr>
          <w:rFonts w:ascii="Arial" w:hAnsi="Arial" w:cs="Arial"/>
          <w:sz w:val="22"/>
          <w:szCs w:val="22"/>
        </w:rPr>
        <w:t xml:space="preserve"> diminution des profits jusqu’au niveau où cesse l’investissement </w:t>
      </w:r>
      <w:r w:rsidRPr="00DD41BA">
        <w:rPr>
          <w:rFonts w:ascii="Arial" w:hAnsi="Arial" w:cs="Arial"/>
          <w:sz w:val="22"/>
          <w:szCs w:val="22"/>
        </w:rPr>
        <w:sym w:font="Symbol" w:char="F0DE"/>
      </w:r>
      <w:r w:rsidRPr="00F4246B">
        <w:rPr>
          <w:rFonts w:ascii="Arial" w:hAnsi="Arial" w:cs="Arial"/>
          <w:sz w:val="22"/>
          <w:szCs w:val="22"/>
        </w:rPr>
        <w:t xml:space="preserve"> arrêt de la croissance économique et de la croissance démographique : Etat-stationnaire</w:t>
      </w:r>
    </w:p>
    <w:p w14:paraId="1C8F87E5" w14:textId="77777777" w:rsidR="00CE4DB6" w:rsidRDefault="00CE4DB6" w:rsidP="00CE4DB6">
      <w:pPr>
        <w:spacing w:before="120" w:after="120"/>
        <w:jc w:val="both"/>
        <w:rPr>
          <w:rFonts w:ascii="Arial" w:hAnsi="Arial" w:cs="Arial"/>
          <w:sz w:val="22"/>
          <w:szCs w:val="22"/>
        </w:rPr>
      </w:pPr>
      <w:r w:rsidRPr="00F4246B">
        <w:rPr>
          <w:rFonts w:ascii="Arial" w:hAnsi="Arial" w:cs="Arial"/>
          <w:sz w:val="22"/>
          <w:szCs w:val="22"/>
        </w:rPr>
        <w:t xml:space="preserve">Pour échapper à cette fatalité, Smith envisage l’approfondissement de la DDT et de la spécialisation au sein des firmes et entre firmes, avec </w:t>
      </w:r>
      <w:r w:rsidRPr="00F4246B">
        <w:rPr>
          <w:rFonts w:ascii="Arial" w:hAnsi="Arial" w:cs="Arial"/>
          <w:b/>
          <w:bCs/>
          <w:sz w:val="22"/>
          <w:szCs w:val="22"/>
        </w:rPr>
        <w:t>un cercle vertueux « smithien »</w:t>
      </w:r>
      <w:r w:rsidRPr="00F4246B">
        <w:rPr>
          <w:rFonts w:ascii="Arial" w:hAnsi="Arial" w:cs="Arial"/>
          <w:sz w:val="22"/>
          <w:szCs w:val="22"/>
        </w:rPr>
        <w:t xml:space="preserve"> : une activité est d’autant plus productive qu’elle est plus divisée, c.a.d. qu’elle emploie une quantité plus importante de main d’œuvre, c.a.d. que le volume de production et la taille du marché sont plus élevés </w:t>
      </w:r>
      <w:r w:rsidRPr="00DD41BA">
        <w:rPr>
          <w:rFonts w:ascii="Arial" w:hAnsi="Arial" w:cs="Arial"/>
          <w:b/>
          <w:bCs/>
          <w:sz w:val="22"/>
          <w:szCs w:val="22"/>
        </w:rPr>
        <w:sym w:font="Symbol" w:char="F0DE"/>
      </w:r>
      <w:r w:rsidRPr="00F4246B">
        <w:rPr>
          <w:rFonts w:ascii="Arial" w:hAnsi="Arial" w:cs="Arial"/>
          <w:b/>
          <w:bCs/>
          <w:sz w:val="22"/>
          <w:szCs w:val="22"/>
        </w:rPr>
        <w:t xml:space="preserve"> cercle vertueux par lequel la productivité dépend de l’échelle de la production qui dépend lui-même de la productivité</w:t>
      </w:r>
    </w:p>
    <w:p w14:paraId="495D1AD5" w14:textId="77777777" w:rsidR="00CE4DB6" w:rsidRDefault="00CE4DB6" w:rsidP="00CE4DB6">
      <w:pPr>
        <w:spacing w:before="120" w:after="120"/>
        <w:jc w:val="both"/>
        <w:rPr>
          <w:rFonts w:ascii="Arial" w:hAnsi="Arial" w:cs="Arial"/>
          <w:sz w:val="22"/>
          <w:szCs w:val="22"/>
        </w:rPr>
      </w:pPr>
      <w:r w:rsidRPr="00F4246B">
        <w:rPr>
          <w:rFonts w:ascii="Arial" w:hAnsi="Arial" w:cs="Arial"/>
          <w:b/>
          <w:bCs/>
          <w:sz w:val="22"/>
          <w:szCs w:val="22"/>
        </w:rPr>
        <w:t>Le progrès technique</w:t>
      </w:r>
      <w:r w:rsidRPr="00F4246B">
        <w:rPr>
          <w:rFonts w:ascii="Arial" w:hAnsi="Arial" w:cs="Arial"/>
          <w:sz w:val="22"/>
          <w:szCs w:val="22"/>
        </w:rPr>
        <w:t xml:space="preserve"> est bien présent dans le modèle classique mais il est relégué à une place marginale puisqu’il ne participe pas à la formation de la dynamique de croissance et n’est même pas invoqué pour éloigner l’économie de l’Etat stationnaire. </w:t>
      </w:r>
      <w:r w:rsidRPr="00F4246B">
        <w:rPr>
          <w:rFonts w:ascii="Arial" w:hAnsi="Arial" w:cs="Arial"/>
          <w:b/>
          <w:bCs/>
          <w:sz w:val="22"/>
          <w:szCs w:val="22"/>
        </w:rPr>
        <w:t>Ricardo</w:t>
      </w:r>
      <w:r w:rsidRPr="00F4246B">
        <w:rPr>
          <w:rFonts w:ascii="Arial" w:hAnsi="Arial" w:cs="Arial"/>
          <w:sz w:val="22"/>
          <w:szCs w:val="22"/>
        </w:rPr>
        <w:t xml:space="preserve"> n’envisageait d’ailleurs que les effets négatifs de la technologie qui détruit des emplois à cause de la substitution du capital au travail, sans tenir compte des effets de plus long terme sur la productivité. </w:t>
      </w:r>
    </w:p>
    <w:p w14:paraId="13DB3187" w14:textId="77777777" w:rsidR="00CE4DB6" w:rsidRDefault="00CE4DB6" w:rsidP="00CE4DB6">
      <w:pPr>
        <w:spacing w:before="120" w:after="120"/>
        <w:jc w:val="both"/>
        <w:rPr>
          <w:rFonts w:ascii="Arial" w:hAnsi="Arial" w:cs="Arial"/>
          <w:sz w:val="22"/>
          <w:szCs w:val="22"/>
        </w:rPr>
      </w:pPr>
      <w:r w:rsidRPr="00F4246B">
        <w:rPr>
          <w:rFonts w:ascii="Arial" w:hAnsi="Arial" w:cs="Arial"/>
          <w:sz w:val="22"/>
          <w:szCs w:val="22"/>
        </w:rPr>
        <w:t xml:space="preserve">Pour </w:t>
      </w:r>
      <w:r w:rsidRPr="00F4246B">
        <w:rPr>
          <w:rFonts w:ascii="Arial" w:hAnsi="Arial" w:cs="Arial"/>
          <w:b/>
          <w:bCs/>
          <w:sz w:val="22"/>
          <w:szCs w:val="22"/>
        </w:rPr>
        <w:t>Marx</w:t>
      </w:r>
      <w:r w:rsidRPr="00F4246B">
        <w:rPr>
          <w:rFonts w:ascii="Arial" w:hAnsi="Arial" w:cs="Arial"/>
          <w:sz w:val="22"/>
          <w:szCs w:val="22"/>
        </w:rPr>
        <w:t xml:space="preserve"> enfin, les rendements décroissants sont inscrits dans la production industrielle du fait de la modification progressive de la composition organique du capital qui fait baisser inexorablement les profits et les investissements. Marx considère que le PT est un facteur d’augmentation de la productivité mais il n’est pas suffisant pour contrer la tendance à la baisse des profits et de l’accumulation.</w:t>
      </w:r>
    </w:p>
    <w:p w14:paraId="28DA0C1B" w14:textId="77777777" w:rsidR="00353B4A" w:rsidRDefault="00353B4A" w:rsidP="00CE4DB6">
      <w:pPr>
        <w:spacing w:before="120" w:after="120"/>
        <w:jc w:val="both"/>
        <w:rPr>
          <w:rFonts w:ascii="Arial" w:hAnsi="Arial" w:cs="Arial"/>
          <w:sz w:val="22"/>
          <w:szCs w:val="22"/>
        </w:rPr>
      </w:pPr>
    </w:p>
    <w:p w14:paraId="500F3D9A" w14:textId="77777777" w:rsidR="00353B4A" w:rsidRPr="00F4246B" w:rsidRDefault="00353B4A" w:rsidP="00CE4DB6">
      <w:pPr>
        <w:spacing w:before="120" w:after="120"/>
        <w:jc w:val="both"/>
        <w:rPr>
          <w:rFonts w:ascii="Arial" w:hAnsi="Arial" w:cs="Arial"/>
          <w:sz w:val="22"/>
          <w:szCs w:val="22"/>
        </w:rPr>
      </w:pPr>
    </w:p>
    <w:p w14:paraId="5B07BAD8" w14:textId="037C48F9" w:rsidR="00CE4DB6" w:rsidRPr="00353B4A" w:rsidRDefault="00353B4A" w:rsidP="00353B4A">
      <w:pPr>
        <w:pStyle w:val="Pardeliste"/>
        <w:numPr>
          <w:ilvl w:val="3"/>
          <w:numId w:val="30"/>
        </w:numPr>
        <w:spacing w:before="240" w:after="240"/>
        <w:ind w:left="426" w:hanging="426"/>
        <w:jc w:val="both"/>
        <w:rPr>
          <w:rFonts w:ascii="Arial" w:hAnsi="Arial" w:cs="Arial"/>
          <w:b/>
          <w:sz w:val="22"/>
          <w:szCs w:val="22"/>
        </w:rPr>
      </w:pPr>
      <w:r w:rsidRPr="00353B4A">
        <w:rPr>
          <w:rFonts w:ascii="Arial" w:hAnsi="Arial" w:cs="Arial"/>
          <w:b/>
          <w:sz w:val="22"/>
          <w:szCs w:val="22"/>
        </w:rPr>
        <w:lastRenderedPageBreak/>
        <w:t>Progrès technique, croissance et déséquilibre : la théorie schumpeterienne du capitalisme moderne</w:t>
      </w:r>
    </w:p>
    <w:p w14:paraId="5297D027" w14:textId="541570AB" w:rsidR="00CE4DB6" w:rsidRDefault="00353B4A" w:rsidP="00CE4DB6">
      <w:pPr>
        <w:jc w:val="both"/>
        <w:rPr>
          <w:rFonts w:ascii="Arial" w:hAnsi="Arial" w:cs="Arial"/>
          <w:sz w:val="22"/>
          <w:szCs w:val="22"/>
        </w:rPr>
      </w:pPr>
      <w:r>
        <w:rPr>
          <w:rFonts w:ascii="Arial" w:hAnsi="Arial" w:cs="Arial"/>
          <w:sz w:val="22"/>
          <w:szCs w:val="22"/>
        </w:rPr>
        <w:t>Le progrès technologique et les changements qu’il impose à la concurrence</w:t>
      </w:r>
      <w:r w:rsidR="00CE4DB6" w:rsidRPr="00DD41BA">
        <w:rPr>
          <w:rFonts w:ascii="Arial" w:hAnsi="Arial" w:cs="Arial"/>
          <w:sz w:val="22"/>
          <w:szCs w:val="22"/>
        </w:rPr>
        <w:t xml:space="preserve"> </w:t>
      </w:r>
      <w:r>
        <w:rPr>
          <w:rFonts w:ascii="Arial" w:hAnsi="Arial" w:cs="Arial"/>
          <w:sz w:val="22"/>
          <w:szCs w:val="22"/>
        </w:rPr>
        <w:t>sont</w:t>
      </w:r>
      <w:r w:rsidR="00CE4DB6" w:rsidRPr="00DD41BA">
        <w:rPr>
          <w:rFonts w:ascii="Arial" w:hAnsi="Arial" w:cs="Arial"/>
          <w:sz w:val="22"/>
          <w:szCs w:val="22"/>
        </w:rPr>
        <w:t xml:space="preserve"> au cœur de l’analyse du capitalisme de Schumpeter et des nouvelles théories de la croissance endogène et du commerce international</w:t>
      </w:r>
    </w:p>
    <w:p w14:paraId="25194049" w14:textId="77777777" w:rsidR="00CE4DB6" w:rsidRDefault="00CE4DB6" w:rsidP="00CE4DB6">
      <w:pPr>
        <w:spacing w:before="120"/>
        <w:jc w:val="both"/>
        <w:rPr>
          <w:rFonts w:ascii="Arial" w:hAnsi="Arial" w:cs="Arial"/>
          <w:sz w:val="22"/>
          <w:szCs w:val="22"/>
        </w:rPr>
      </w:pPr>
      <w:r w:rsidRPr="00F4246B">
        <w:rPr>
          <w:rFonts w:ascii="Arial" w:hAnsi="Arial" w:cs="Arial"/>
          <w:sz w:val="22"/>
          <w:szCs w:val="22"/>
        </w:rPr>
        <w:t xml:space="preserve">Schumpeter montre ainsi dans les années 30 que l’équilibre concurrentiel basé sur l’alignement de tous les producteurs sur les mêmes process et les mêmes produits (imitation des producteurs les plus performants) doit conduire à la stagnation, aux faillites et au chômage. La concurrence conduit en effet à une concurrence par les prix qui raréfie les opportunités d’investissement rentable et diminue les taux de profit qui doivent s’annuler à long terme. Grâce aux innovations (applications industrielles d’une invention : nouveaux produits, nouveau besoin, amélioration de la qualité, nouveaux débouchés, nouvelles méthodes de production), les entreprises innovatrices bénéficient d’un monopole transitoire qui leur permet de se soustraire à la guerre des prix et à la pénurie croissante d’opportunités d’investissements profitables. Leurs investissements lancent une phase nouvelle d’investissements qui permettent aux firmes suiveuses de rattraper la firme innovatrice. De plus, l’innovation est un processus dynamique car elle crée des goulets d’étranglement qui suscitent d’autres innovations dans des activités proches. Schumpeter parle ainsi de grappes d’innovations. C’est une nouvelle phase de croissance et de changements dans tous les domaines de la gestion de l’entreprise : technologique, commercial, organisationnel, financier, réglementaire. Schumpeter parle de la croissance comme d’un processus de </w:t>
      </w:r>
      <w:r w:rsidRPr="00F4246B">
        <w:rPr>
          <w:rFonts w:ascii="Arial" w:hAnsi="Arial" w:cs="Arial"/>
          <w:b/>
          <w:bCs/>
          <w:sz w:val="22"/>
          <w:szCs w:val="22"/>
        </w:rPr>
        <w:t>destruction créatrice</w:t>
      </w:r>
      <w:r w:rsidRPr="00F4246B">
        <w:rPr>
          <w:rFonts w:ascii="Arial" w:hAnsi="Arial" w:cs="Arial"/>
          <w:sz w:val="22"/>
          <w:szCs w:val="22"/>
        </w:rPr>
        <w:t xml:space="preserve"> puisque la montée en puissance de nouvelles activités détruit les activités anciennes qui disparaissent : faillite, chômage et ajustements intersectoriels.</w:t>
      </w:r>
    </w:p>
    <w:p w14:paraId="54C3FB5F" w14:textId="77777777" w:rsidR="00CE4DB6" w:rsidRDefault="00CE4DB6" w:rsidP="00CE4DB6">
      <w:pPr>
        <w:spacing w:before="120"/>
        <w:jc w:val="both"/>
        <w:rPr>
          <w:rFonts w:ascii="Arial" w:hAnsi="Arial" w:cs="Arial"/>
          <w:sz w:val="22"/>
          <w:szCs w:val="22"/>
        </w:rPr>
      </w:pPr>
    </w:p>
    <w:p w14:paraId="7D8F56F5" w14:textId="77777777" w:rsidR="00CE4DB6" w:rsidRDefault="00CE4DB6" w:rsidP="00CE4DB6">
      <w:pPr>
        <w:jc w:val="both"/>
        <w:rPr>
          <w:rFonts w:ascii="Arial" w:hAnsi="Arial" w:cs="Arial"/>
          <w:sz w:val="22"/>
        </w:rPr>
      </w:pPr>
    </w:p>
    <w:p w14:paraId="7F07E0F9" w14:textId="77777777" w:rsidR="00CE4DB6" w:rsidRPr="00260CED" w:rsidRDefault="00CE4DB6" w:rsidP="00CE4DB6">
      <w:pPr>
        <w:jc w:val="both"/>
        <w:rPr>
          <w:rFonts w:ascii="Arial" w:hAnsi="Arial" w:cs="Arial"/>
          <w:b/>
          <w:sz w:val="22"/>
        </w:rPr>
      </w:pPr>
      <w:r w:rsidRPr="00CB7873">
        <w:rPr>
          <w:rFonts w:ascii="Arial" w:hAnsi="Arial" w:cs="Arial"/>
          <w:b/>
          <w:sz w:val="22"/>
        </w:rPr>
        <w:t xml:space="preserve">Figure </w:t>
      </w:r>
      <w:r>
        <w:rPr>
          <w:rFonts w:ascii="Arial" w:hAnsi="Arial" w:cs="Arial"/>
          <w:b/>
          <w:sz w:val="22"/>
        </w:rPr>
        <w:t xml:space="preserve">5 </w:t>
      </w:r>
      <w:r w:rsidRPr="00CB7873">
        <w:rPr>
          <w:rFonts w:ascii="Arial" w:hAnsi="Arial" w:cs="Arial"/>
          <w:b/>
          <w:sz w:val="22"/>
        </w:rPr>
        <w:t>: Effets du Progrès Technique et destruction créatrice schumpeterienne</w:t>
      </w:r>
    </w:p>
    <w:p w14:paraId="6C4EA6EB" w14:textId="77777777" w:rsidR="00CE4DB6" w:rsidRPr="00260CED" w:rsidRDefault="00CE4DB6" w:rsidP="00CE4DB6">
      <w:pPr>
        <w:spacing w:before="120"/>
        <w:jc w:val="both"/>
        <w:rPr>
          <w:rFonts w:ascii="Arial" w:hAnsi="Arial" w:cs="Arial"/>
          <w:sz w:val="22"/>
          <w:szCs w:val="22"/>
        </w:rPr>
      </w:pPr>
      <w:r>
        <w:rPr>
          <w:rFonts w:ascii="Arial" w:hAnsi="Arial" w:cs="Arial"/>
          <w:noProof/>
          <w:sz w:val="22"/>
          <w:szCs w:val="22"/>
        </w:rPr>
        <w:lastRenderedPageBreak/>
        <mc:AlternateContent>
          <mc:Choice Requires="wpg">
            <w:drawing>
              <wp:inline distT="0" distB="0" distL="0" distR="0" wp14:anchorId="024BF934" wp14:editId="37A3ED4C">
                <wp:extent cx="5943600" cy="4669790"/>
                <wp:effectExtent l="0" t="0" r="1905" b="5715"/>
                <wp:docPr id="1" name="Group 28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943600" cy="4669790"/>
                          <a:chOff x="1784" y="1790"/>
                          <a:chExt cx="8064" cy="6336"/>
                        </a:xfrm>
                      </wpg:grpSpPr>
                      <wps:wsp>
                        <wps:cNvPr id="2" name="AutoShape 287"/>
                        <wps:cNvSpPr>
                          <a:spLocks noChangeAspect="1" noChangeArrowheads="1" noTextEdit="1"/>
                        </wps:cNvSpPr>
                        <wps:spPr bwMode="auto">
                          <a:xfrm>
                            <a:off x="1784" y="1790"/>
                            <a:ext cx="8064" cy="6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cNvPr id="3" name="Group 288"/>
                        <wpg:cNvGrpSpPr>
                          <a:grpSpLocks/>
                        </wpg:cNvGrpSpPr>
                        <wpg:grpSpPr bwMode="auto">
                          <a:xfrm>
                            <a:off x="1784" y="1934"/>
                            <a:ext cx="6480" cy="5616"/>
                            <a:chOff x="2504" y="1934"/>
                            <a:chExt cx="6480" cy="5616"/>
                          </a:xfrm>
                        </wpg:grpSpPr>
                        <wps:wsp>
                          <wps:cNvPr id="4" name="Text Box 289"/>
                          <wps:cNvSpPr txBox="1">
                            <a:spLocks noChangeArrowheads="1"/>
                          </wps:cNvSpPr>
                          <wps:spPr bwMode="auto">
                            <a:xfrm>
                              <a:off x="3080" y="3374"/>
                              <a:ext cx="1296" cy="720"/>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A9781F" w14:textId="77777777" w:rsidR="00CE4DB6" w:rsidRPr="00D616FA" w:rsidRDefault="00CE4DB6" w:rsidP="00CE4DB6">
                                <w:pPr>
                                  <w:jc w:val="center"/>
                                  <w:rPr>
                                    <w:b/>
                                  </w:rPr>
                                </w:pPr>
                                <w:r w:rsidRPr="00D616FA">
                                  <w:rPr>
                                    <w:b/>
                                  </w:rPr>
                                  <w:t>P</w:t>
                                </w:r>
                                <w:r>
                                  <w:rPr>
                                    <w:b/>
                                  </w:rPr>
                                  <w:t xml:space="preserve">rogrès </w:t>
                                </w:r>
                                <w:r w:rsidRPr="00D616FA">
                                  <w:rPr>
                                    <w:b/>
                                  </w:rPr>
                                  <w:t>T</w:t>
                                </w:r>
                                <w:r>
                                  <w:rPr>
                                    <w:b/>
                                  </w:rPr>
                                  <w:t>echnique</w:t>
                                </w:r>
                                <w:r w:rsidRPr="00D616FA">
                                  <w:rPr>
                                    <w:b/>
                                  </w:rPr>
                                  <w:t xml:space="preserve"> </w:t>
                                </w:r>
                              </w:p>
                            </w:txbxContent>
                          </wps:txbx>
                          <wps:bodyPr rot="0" vert="horz" wrap="square" lIns="91440" tIns="45720" rIns="91440" bIns="45720" anchor="t" anchorCtr="0" upright="1">
                            <a:noAutofit/>
                          </wps:bodyPr>
                        </wps:wsp>
                        <wps:wsp>
                          <wps:cNvPr id="5" name="Text Box 290"/>
                          <wps:cNvSpPr txBox="1">
                            <a:spLocks noChangeArrowheads="1"/>
                          </wps:cNvSpPr>
                          <wps:spPr bwMode="auto">
                            <a:xfrm>
                              <a:off x="2648" y="6398"/>
                              <a:ext cx="2160" cy="864"/>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0721BAB" w14:textId="77777777" w:rsidR="00CE4DB6" w:rsidRPr="008C0F1A" w:rsidRDefault="00CE4DB6" w:rsidP="00CE4DB6">
                                <w:pPr>
                                  <w:jc w:val="center"/>
                                </w:pPr>
                                <w:r>
                                  <w:t>Transformation des rapports travail-capital et du partage de la VA</w:t>
                                </w:r>
                              </w:p>
                            </w:txbxContent>
                          </wps:txbx>
                          <wps:bodyPr rot="0" vert="horz" wrap="square" lIns="91440" tIns="45720" rIns="91440" bIns="45720" anchor="t" anchorCtr="0" upright="1">
                            <a:noAutofit/>
                          </wps:bodyPr>
                        </wps:wsp>
                        <wps:wsp>
                          <wps:cNvPr id="6" name="Text Box 291"/>
                          <wps:cNvSpPr txBox="1">
                            <a:spLocks noChangeArrowheads="1"/>
                          </wps:cNvSpPr>
                          <wps:spPr bwMode="auto">
                            <a:xfrm>
                              <a:off x="7688" y="4382"/>
                              <a:ext cx="1296" cy="864"/>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49C6A3A" w14:textId="77777777" w:rsidR="00CE4DB6" w:rsidRPr="008C0F1A" w:rsidRDefault="00CE4DB6" w:rsidP="00CE4DB6">
                                <w:pPr>
                                  <w:jc w:val="center"/>
                                </w:pPr>
                                <w:r>
                                  <w:t>Nouvelle organisation du travail</w:t>
                                </w:r>
                              </w:p>
                            </w:txbxContent>
                          </wps:txbx>
                          <wps:bodyPr rot="0" vert="horz" wrap="square" lIns="91440" tIns="45720" rIns="91440" bIns="45720" anchor="t" anchorCtr="0" upright="1">
                            <a:noAutofit/>
                          </wps:bodyPr>
                        </wps:wsp>
                        <wps:wsp>
                          <wps:cNvPr id="7" name="Text Box 292"/>
                          <wps:cNvSpPr txBox="1">
                            <a:spLocks noChangeArrowheads="1"/>
                          </wps:cNvSpPr>
                          <wps:spPr bwMode="auto">
                            <a:xfrm>
                              <a:off x="7112" y="3662"/>
                              <a:ext cx="1728" cy="432"/>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A41DB1" w14:textId="77777777" w:rsidR="00CE4DB6" w:rsidRPr="008C0F1A" w:rsidRDefault="00CE4DB6" w:rsidP="00CE4DB6">
                                <w:pPr>
                                  <w:jc w:val="center"/>
                                </w:pPr>
                                <w:r>
                                  <w:t>Nouveaux process</w:t>
                                </w:r>
                              </w:p>
                            </w:txbxContent>
                          </wps:txbx>
                          <wps:bodyPr rot="0" vert="horz" wrap="square" lIns="91440" tIns="45720" rIns="91440" bIns="45720" anchor="t" anchorCtr="0" upright="1">
                            <a:noAutofit/>
                          </wps:bodyPr>
                        </wps:wsp>
                        <wps:wsp>
                          <wps:cNvPr id="10" name="Text Box 293"/>
                          <wps:cNvSpPr txBox="1">
                            <a:spLocks noChangeArrowheads="1"/>
                          </wps:cNvSpPr>
                          <wps:spPr bwMode="auto">
                            <a:xfrm>
                              <a:off x="4952" y="3662"/>
                              <a:ext cx="1584" cy="432"/>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613FB59" w14:textId="77777777" w:rsidR="00CE4DB6" w:rsidRPr="008C0F1A" w:rsidRDefault="00CE4DB6" w:rsidP="00CE4DB6">
                                <w:pPr>
                                  <w:jc w:val="center"/>
                                </w:pPr>
                                <w:r>
                                  <w:t>Nouveaux biens</w:t>
                                </w:r>
                              </w:p>
                            </w:txbxContent>
                          </wps:txbx>
                          <wps:bodyPr rot="0" vert="horz" wrap="square" lIns="91440" tIns="45720" rIns="91440" bIns="45720" anchor="t" anchorCtr="0" upright="1">
                            <a:noAutofit/>
                          </wps:bodyPr>
                        </wps:wsp>
                        <wps:wsp>
                          <wps:cNvPr id="11" name="Text Box 294"/>
                          <wps:cNvSpPr txBox="1">
                            <a:spLocks noChangeArrowheads="1"/>
                          </wps:cNvSpPr>
                          <wps:spPr bwMode="auto">
                            <a:xfrm>
                              <a:off x="5384" y="5534"/>
                              <a:ext cx="2160" cy="864"/>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79E5C53" w14:textId="77777777" w:rsidR="00CE4DB6" w:rsidRPr="008C0F1A" w:rsidRDefault="00CE4DB6" w:rsidP="00CE4DB6">
                                <w:pPr>
                                  <w:jc w:val="center"/>
                                </w:pPr>
                                <w:r>
                                  <w:t>Nouvelles demandes sur le marché du travail (qualifications)</w:t>
                                </w:r>
                              </w:p>
                            </w:txbxContent>
                          </wps:txbx>
                          <wps:bodyPr rot="0" vert="horz" wrap="square" lIns="91440" tIns="45720" rIns="91440" bIns="45720" anchor="t" anchorCtr="0" upright="1">
                            <a:noAutofit/>
                          </wps:bodyPr>
                        </wps:wsp>
                        <wps:wsp>
                          <wps:cNvPr id="12" name="Text Box 295"/>
                          <wps:cNvSpPr txBox="1">
                            <a:spLocks noChangeArrowheads="1"/>
                          </wps:cNvSpPr>
                          <wps:spPr bwMode="auto">
                            <a:xfrm>
                              <a:off x="7112" y="1934"/>
                              <a:ext cx="1872" cy="1296"/>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48B192" w14:textId="77777777" w:rsidR="00CE4DB6" w:rsidRPr="008C0F1A" w:rsidRDefault="00CE4DB6" w:rsidP="00CE4DB6">
                                <w:pPr>
                                  <w:jc w:val="center"/>
                                </w:pPr>
                                <w:r>
                                  <w:t>Nouvelles demandes sur les marchés des biens intermédiaires et des biens d’équipements</w:t>
                                </w:r>
                              </w:p>
                            </w:txbxContent>
                          </wps:txbx>
                          <wps:bodyPr rot="0" vert="horz" wrap="square" lIns="91440" tIns="45720" rIns="91440" bIns="45720" anchor="t" anchorCtr="0" upright="1">
                            <a:noAutofit/>
                          </wps:bodyPr>
                        </wps:wsp>
                        <wps:wsp>
                          <wps:cNvPr id="13" name="Line 296"/>
                          <wps:cNvCnPr>
                            <a:cxnSpLocks noChangeShapeType="1"/>
                          </wps:cNvCnPr>
                          <wps:spPr bwMode="auto">
                            <a:xfrm>
                              <a:off x="4376" y="3806"/>
                              <a:ext cx="576"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Line 297"/>
                          <wps:cNvCnPr>
                            <a:cxnSpLocks noChangeShapeType="1"/>
                          </wps:cNvCnPr>
                          <wps:spPr bwMode="auto">
                            <a:xfrm>
                              <a:off x="6536" y="3806"/>
                              <a:ext cx="576"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Line 298"/>
                          <wps:cNvCnPr>
                            <a:cxnSpLocks noChangeShapeType="1"/>
                          </wps:cNvCnPr>
                          <wps:spPr bwMode="auto">
                            <a:xfrm flipV="1">
                              <a:off x="7976" y="3230"/>
                              <a:ext cx="0" cy="43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Line 299"/>
                          <wps:cNvCnPr>
                            <a:cxnSpLocks noChangeShapeType="1"/>
                          </wps:cNvCnPr>
                          <wps:spPr bwMode="auto">
                            <a:xfrm>
                              <a:off x="7976" y="4094"/>
                              <a:ext cx="0" cy="28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Line 300"/>
                          <wps:cNvCnPr>
                            <a:cxnSpLocks noChangeShapeType="1"/>
                          </wps:cNvCnPr>
                          <wps:spPr bwMode="auto">
                            <a:xfrm>
                              <a:off x="7976" y="5246"/>
                              <a:ext cx="0" cy="7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301"/>
                          <wps:cNvCnPr>
                            <a:cxnSpLocks noChangeShapeType="1"/>
                          </wps:cNvCnPr>
                          <wps:spPr bwMode="auto">
                            <a:xfrm flipH="1">
                              <a:off x="7544" y="5966"/>
                              <a:ext cx="432"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Line 302"/>
                          <wps:cNvCnPr>
                            <a:cxnSpLocks noChangeShapeType="1"/>
                          </wps:cNvCnPr>
                          <wps:spPr bwMode="auto">
                            <a:xfrm flipH="1">
                              <a:off x="7256" y="4670"/>
                              <a:ext cx="432"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Text Box 303"/>
                          <wps:cNvSpPr txBox="1">
                            <a:spLocks noChangeArrowheads="1"/>
                          </wps:cNvSpPr>
                          <wps:spPr bwMode="auto">
                            <a:xfrm>
                              <a:off x="4664" y="2222"/>
                              <a:ext cx="1872" cy="864"/>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CD10A93" w14:textId="77777777" w:rsidR="00CE4DB6" w:rsidRPr="00FD4CC6" w:rsidRDefault="00CE4DB6" w:rsidP="00CE4DB6">
                                <w:pPr>
                                  <w:jc w:val="center"/>
                                  <w:rPr>
                                    <w:i/>
                                    <w:iCs/>
                                  </w:rPr>
                                </w:pPr>
                                <w:r>
                                  <w:t xml:space="preserve">Diffusion des </w:t>
                                </w:r>
                                <w:r w:rsidRPr="00FD4CC6">
                                  <w:rPr>
                                    <w:i/>
                                    <w:iCs/>
                                  </w:rPr>
                                  <w:t>leading sectors</w:t>
                                </w:r>
                                <w:r>
                                  <w:t xml:space="preserve"> aux </w:t>
                                </w:r>
                                <w:r w:rsidRPr="00FD4CC6">
                                  <w:rPr>
                                    <w:i/>
                                    <w:iCs/>
                                  </w:rPr>
                                  <w:t>following sectors</w:t>
                                </w:r>
                              </w:p>
                            </w:txbxContent>
                          </wps:txbx>
                          <wps:bodyPr rot="0" vert="horz" wrap="square" lIns="91440" tIns="45720" rIns="91440" bIns="45720" anchor="t" anchorCtr="0" upright="1">
                            <a:noAutofit/>
                          </wps:bodyPr>
                        </wps:wsp>
                        <wps:wsp>
                          <wps:cNvPr id="34" name="Line 304"/>
                          <wps:cNvCnPr>
                            <a:cxnSpLocks noChangeShapeType="1"/>
                          </wps:cNvCnPr>
                          <wps:spPr bwMode="auto">
                            <a:xfrm flipH="1">
                              <a:off x="4088" y="2510"/>
                              <a:ext cx="576"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 name="Line 305"/>
                          <wps:cNvCnPr>
                            <a:cxnSpLocks noChangeShapeType="1"/>
                          </wps:cNvCnPr>
                          <wps:spPr bwMode="auto">
                            <a:xfrm>
                              <a:off x="5816" y="3086"/>
                              <a:ext cx="0" cy="576"/>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36" name="Line 306"/>
                          <wps:cNvCnPr>
                            <a:cxnSpLocks noChangeShapeType="1"/>
                          </wps:cNvCnPr>
                          <wps:spPr bwMode="auto">
                            <a:xfrm>
                              <a:off x="5960" y="3086"/>
                              <a:ext cx="0" cy="288"/>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7" name="Line 307"/>
                          <wps:cNvCnPr>
                            <a:cxnSpLocks noChangeShapeType="1"/>
                          </wps:cNvCnPr>
                          <wps:spPr bwMode="auto">
                            <a:xfrm>
                              <a:off x="5960" y="3374"/>
                              <a:ext cx="1584"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8" name="Line 308"/>
                          <wps:cNvCnPr>
                            <a:cxnSpLocks noChangeShapeType="1"/>
                          </wps:cNvCnPr>
                          <wps:spPr bwMode="auto">
                            <a:xfrm>
                              <a:off x="7544" y="3374"/>
                              <a:ext cx="0" cy="288"/>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39" name="Text Box 309"/>
                          <wps:cNvSpPr txBox="1">
                            <a:spLocks noChangeArrowheads="1"/>
                          </wps:cNvSpPr>
                          <wps:spPr bwMode="auto">
                            <a:xfrm>
                              <a:off x="5960" y="4382"/>
                              <a:ext cx="1296" cy="864"/>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8F8FC2" w14:textId="77777777" w:rsidR="00CE4DB6" w:rsidRPr="008C0F1A" w:rsidRDefault="00CE4DB6" w:rsidP="00CE4DB6">
                                <w:pPr>
                                  <w:jc w:val="center"/>
                                </w:pPr>
                                <w:r>
                                  <w:t>Gains de productivité du travail</w:t>
                                </w:r>
                              </w:p>
                            </w:txbxContent>
                          </wps:txbx>
                          <wps:bodyPr rot="0" vert="horz" wrap="square" lIns="91440" tIns="45720" rIns="91440" bIns="45720" anchor="t" anchorCtr="0" upright="1">
                            <a:noAutofit/>
                          </wps:bodyPr>
                        </wps:wsp>
                        <wps:wsp>
                          <wps:cNvPr id="40" name="Line 310"/>
                          <wps:cNvCnPr>
                            <a:cxnSpLocks noChangeShapeType="1"/>
                          </wps:cNvCnPr>
                          <wps:spPr bwMode="auto">
                            <a:xfrm flipH="1">
                              <a:off x="5240" y="4670"/>
                              <a:ext cx="720"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1" name="Line 311"/>
                          <wps:cNvCnPr>
                            <a:cxnSpLocks noChangeShapeType="1"/>
                          </wps:cNvCnPr>
                          <wps:spPr bwMode="auto">
                            <a:xfrm flipH="1">
                              <a:off x="3944" y="5678"/>
                              <a:ext cx="1440"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2" name="Line 312"/>
                          <wps:cNvCnPr>
                            <a:cxnSpLocks noChangeShapeType="1"/>
                          </wps:cNvCnPr>
                          <wps:spPr bwMode="auto">
                            <a:xfrm flipH="1">
                              <a:off x="6536" y="2654"/>
                              <a:ext cx="576"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 name="Line 313"/>
                          <wps:cNvCnPr>
                            <a:cxnSpLocks noChangeShapeType="1"/>
                          </wps:cNvCnPr>
                          <wps:spPr bwMode="auto">
                            <a:xfrm flipH="1">
                              <a:off x="4664" y="5102"/>
                              <a:ext cx="1296"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 name="Line 314"/>
                          <wps:cNvCnPr>
                            <a:cxnSpLocks noChangeShapeType="1"/>
                          </wps:cNvCnPr>
                          <wps:spPr bwMode="auto">
                            <a:xfrm>
                              <a:off x="4664" y="5102"/>
                              <a:ext cx="1" cy="129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5" name="Text Box 315"/>
                          <wps:cNvSpPr txBox="1">
                            <a:spLocks noChangeArrowheads="1"/>
                          </wps:cNvSpPr>
                          <wps:spPr bwMode="auto">
                            <a:xfrm>
                              <a:off x="2504" y="2366"/>
                              <a:ext cx="1586" cy="396"/>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8ABD99" w14:textId="77777777" w:rsidR="00CE4DB6" w:rsidRPr="008C0F1A" w:rsidRDefault="00CE4DB6" w:rsidP="00CE4DB6">
                                <w:pPr>
                                  <w:jc w:val="center"/>
                                </w:pPr>
                                <w:r>
                                  <w:t>Investissement</w:t>
                                </w:r>
                              </w:p>
                            </w:txbxContent>
                          </wps:txbx>
                          <wps:bodyPr rot="0" vert="horz" wrap="square" lIns="91440" tIns="45720" rIns="91440" bIns="45720" anchor="t" anchorCtr="0" upright="1">
                            <a:noAutofit/>
                          </wps:bodyPr>
                        </wps:wsp>
                        <wps:wsp>
                          <wps:cNvPr id="46" name="Line 316"/>
                          <wps:cNvCnPr>
                            <a:cxnSpLocks noChangeShapeType="1"/>
                          </wps:cNvCnPr>
                          <wps:spPr bwMode="auto">
                            <a:xfrm flipH="1">
                              <a:off x="4376" y="5966"/>
                              <a:ext cx="1008"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7" name="Line 317"/>
                          <wps:cNvCnPr>
                            <a:cxnSpLocks noChangeShapeType="1"/>
                          </wps:cNvCnPr>
                          <wps:spPr bwMode="auto">
                            <a:xfrm>
                              <a:off x="4376" y="5966"/>
                              <a:ext cx="1" cy="43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8" name="Text Box 318"/>
                          <wps:cNvSpPr txBox="1">
                            <a:spLocks noChangeArrowheads="1"/>
                          </wps:cNvSpPr>
                          <wps:spPr bwMode="auto">
                            <a:xfrm>
                              <a:off x="2504" y="5102"/>
                              <a:ext cx="1440" cy="864"/>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98724B" w14:textId="77777777" w:rsidR="00CE4DB6" w:rsidRPr="008C0F1A" w:rsidRDefault="00CE4DB6" w:rsidP="00CE4DB6">
                                <w:pPr>
                                  <w:jc w:val="center"/>
                                </w:pPr>
                                <w:r>
                                  <w:t>Augmentation de la force de travail occupée</w:t>
                                </w:r>
                              </w:p>
                            </w:txbxContent>
                          </wps:txbx>
                          <wps:bodyPr rot="0" vert="horz" wrap="square" lIns="91440" tIns="45720" rIns="91440" bIns="45720" anchor="t" anchorCtr="0" upright="1">
                            <a:noAutofit/>
                          </wps:bodyPr>
                        </wps:wsp>
                        <wps:wsp>
                          <wps:cNvPr id="49" name="Line 319"/>
                          <wps:cNvCnPr>
                            <a:cxnSpLocks noChangeShapeType="1"/>
                          </wps:cNvCnPr>
                          <wps:spPr bwMode="auto">
                            <a:xfrm>
                              <a:off x="2792" y="2798"/>
                              <a:ext cx="1" cy="2304"/>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0" name="Text Box 320"/>
                          <wps:cNvSpPr txBox="1">
                            <a:spLocks noChangeArrowheads="1"/>
                          </wps:cNvSpPr>
                          <wps:spPr bwMode="auto">
                            <a:xfrm>
                              <a:off x="3368" y="4238"/>
                              <a:ext cx="1872" cy="720"/>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4658DAD" w14:textId="77777777" w:rsidR="00CE4DB6" w:rsidRPr="00FD4CC6" w:rsidRDefault="00CE4DB6" w:rsidP="00CE4DB6">
                                <w:pPr>
                                  <w:jc w:val="center"/>
                                  <w:rPr>
                                    <w:b/>
                                    <w:sz w:val="22"/>
                                    <w:szCs w:val="22"/>
                                  </w:rPr>
                                </w:pPr>
                                <w:r w:rsidRPr="00FD4CC6">
                                  <w:rPr>
                                    <w:b/>
                                    <w:sz w:val="22"/>
                                    <w:szCs w:val="22"/>
                                  </w:rPr>
                                  <w:t>Croissance des nouveaux marchés et du PIB</w:t>
                                </w:r>
                              </w:p>
                            </w:txbxContent>
                          </wps:txbx>
                          <wps:bodyPr rot="0" vert="horz" wrap="square" lIns="91440" tIns="45720" rIns="91440" bIns="45720" anchor="t" anchorCtr="0" upright="1">
                            <a:noAutofit/>
                          </wps:bodyPr>
                        </wps:wsp>
                        <wps:wsp>
                          <wps:cNvPr id="51" name="Line 321"/>
                          <wps:cNvCnPr>
                            <a:cxnSpLocks noChangeShapeType="1"/>
                          </wps:cNvCnPr>
                          <wps:spPr bwMode="auto">
                            <a:xfrm>
                              <a:off x="2936" y="2798"/>
                              <a:ext cx="1" cy="172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2" name="Line 322"/>
                          <wps:cNvCnPr>
                            <a:cxnSpLocks noChangeShapeType="1"/>
                          </wps:cNvCnPr>
                          <wps:spPr bwMode="auto">
                            <a:xfrm>
                              <a:off x="2936" y="4670"/>
                              <a:ext cx="432"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3" name="Line 323"/>
                          <wps:cNvCnPr>
                            <a:cxnSpLocks noChangeShapeType="1"/>
                          </wps:cNvCnPr>
                          <wps:spPr bwMode="auto">
                            <a:xfrm flipH="1">
                              <a:off x="2792" y="2942"/>
                              <a:ext cx="1872"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54" name="Line 324"/>
                          <wps:cNvCnPr>
                            <a:cxnSpLocks noChangeShapeType="1"/>
                          </wps:cNvCnPr>
                          <wps:spPr bwMode="auto">
                            <a:xfrm flipV="1">
                              <a:off x="2936" y="4670"/>
                              <a:ext cx="0" cy="43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 name="Line 325"/>
                          <wps:cNvCnPr>
                            <a:cxnSpLocks noChangeShapeType="1"/>
                          </wps:cNvCnPr>
                          <wps:spPr bwMode="auto">
                            <a:xfrm>
                              <a:off x="2936" y="4526"/>
                              <a:ext cx="432"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6" name="Text Box 326"/>
                          <wps:cNvSpPr txBox="1">
                            <a:spLocks noChangeArrowheads="1"/>
                          </wps:cNvSpPr>
                          <wps:spPr bwMode="auto">
                            <a:xfrm>
                              <a:off x="5384" y="6974"/>
                              <a:ext cx="2160" cy="576"/>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F8E4F0" w14:textId="77777777" w:rsidR="00CE4DB6" w:rsidRPr="00D616FA" w:rsidRDefault="00CE4DB6" w:rsidP="00CE4DB6">
                                <w:pPr>
                                  <w:jc w:val="center"/>
                                  <w:rPr>
                                    <w:b/>
                                  </w:rPr>
                                </w:pPr>
                                <w:r w:rsidRPr="00D616FA">
                                  <w:rPr>
                                    <w:b/>
                                  </w:rPr>
                                  <w:t>Changements institutionnels</w:t>
                                </w:r>
                              </w:p>
                            </w:txbxContent>
                          </wps:txbx>
                          <wps:bodyPr rot="0" vert="horz" wrap="square" lIns="91440" tIns="45720" rIns="91440" bIns="45720" anchor="t" anchorCtr="0" upright="1">
                            <a:noAutofit/>
                          </wps:bodyPr>
                        </wps:wsp>
                        <wps:wsp>
                          <wps:cNvPr id="57" name="Line 327"/>
                          <wps:cNvCnPr>
                            <a:cxnSpLocks noChangeShapeType="1"/>
                          </wps:cNvCnPr>
                          <wps:spPr bwMode="auto">
                            <a:xfrm>
                              <a:off x="4376" y="7262"/>
                              <a:ext cx="0"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 name="Line 328"/>
                          <wps:cNvCnPr>
                            <a:cxnSpLocks noChangeShapeType="1"/>
                          </wps:cNvCnPr>
                          <wps:spPr bwMode="auto">
                            <a:xfrm>
                              <a:off x="4376" y="7406"/>
                              <a:ext cx="1008"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wgp>
                  </a:graphicData>
                </a:graphic>
              </wp:inline>
            </w:drawing>
          </mc:Choice>
          <mc:Fallback>
            <w:pict>
              <v:group id="Group 286" o:spid="_x0000_s1045" style="width:468pt;height:367.7pt;mso-position-horizontal-relative:char;mso-position-vertical-relative:line" coordorigin="1784,1790" coordsize="8064,63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">
                <o:lock v:ext="edit" aspectratio="t"/>
                <v:rect id="AutoShape 287" o:spid="_x0000_s1046" style="position:absolute;left:1784;top:1790;width:8064;height:63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F9acMA&#10;AADaAAAADwAAAGRycy9kb3ducmV2LnhtbESPT4vCMBTE78J+h/AWvMia6kGka5RFWCyLINY/50fz&#10;bIvNS22ybf32RhA8DjPzG2ax6k0lWmpcaVnBZByBIM6sLjlXcDz8fs1BOI+ssbJMCu7kYLX8GCww&#10;1rbjPbWpz0WAsItRQeF9HUvpsoIMurGtiYN3sY1BH2STS91gF+CmktMomkmDJYeFAmtaF5Rd03+j&#10;oMt27fmw3cjd6JxYviW3dXr6U2r42f98g/DU+3f41U60gik8r4Qb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cF9acMAAADaAAAADwAAAAAAAAAAAAAAAACYAgAAZHJzL2Rv&#10;d25yZXYueG1sUEsFBgAAAAAEAAQA9QAAAIgDAAAAAA==&#10;" filled="f" stroked="f">
                  <o:lock v:ext="edit" aspectratio="t" text="t"/>
                </v:rect>
                <v:group id="Group 288" o:spid="_x0000_s1047" style="position:absolute;left:1784;top:1934;width:6480;height:5616" coordorigin="2504,1934" coordsize="6480,561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type id="_x0000_t202" coordsize="21600,21600" o:spt="202" path="m,l,21600r21600,l21600,xe">
                    <v:stroke joinstyle="miter"/>
                    <v:path gradientshapeok="t" o:connecttype="rect"/>
                  </v:shapetype>
                  <v:shape id="Text Box 289" o:spid="_x0000_s1048" type="#_x0000_t202" style="position:absolute;left:3080;top:3374;width:1296;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enX78A&#10;AADaAAAADwAAAGRycy9kb3ducmV2LnhtbESPzQrCMBCE74LvEFbwpqkiItUoIgoWvPhz8bY0a1ts&#10;NqWJtvr0RhA8DjPzDbNYtaYUT6pdYVnBaBiBIE6tLjhTcDnvBjMQziNrLC2Tghc5WC27nQXG2jZ8&#10;pOfJZyJA2MWoIPe+iqV0aU4G3dBWxMG72dqgD7LOpK6xCXBTynEUTaXBgsNCjhVtckrvp4dRUDVM&#10;93WRlAk/kiQabS+H63urVL/XrucgPLX+H/6191rBBL5Xwg2Qy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TZ6dfvwAAANoAAAAPAAAAAAAAAAAAAAAAAJgCAABkcnMvZG93bnJl&#10;di54bWxQSwUGAAAAAAQABAD1AAAAhAMAAAAA&#10;" fillcolor="gray" stroked="f">
                    <v:textbox>
                      <w:txbxContent>
                        <w:p w14:paraId="30A9781F" w14:textId="77777777" w:rsidR="00CE4DB6" w:rsidRPr="00D616FA" w:rsidRDefault="00CE4DB6" w:rsidP="00CE4DB6">
                          <w:pPr>
                            <w:jc w:val="center"/>
                            <w:rPr>
                              <w:b/>
                            </w:rPr>
                          </w:pPr>
                          <w:r w:rsidRPr="00D616FA">
                            <w:rPr>
                              <w:b/>
                            </w:rPr>
                            <w:t>P</w:t>
                          </w:r>
                          <w:r>
                            <w:rPr>
                              <w:b/>
                            </w:rPr>
                            <w:t xml:space="preserve">rogrès </w:t>
                          </w:r>
                          <w:r w:rsidRPr="00D616FA">
                            <w:rPr>
                              <w:b/>
                            </w:rPr>
                            <w:t>T</w:t>
                          </w:r>
                          <w:r>
                            <w:rPr>
                              <w:b/>
                            </w:rPr>
                            <w:t>echnique</w:t>
                          </w:r>
                          <w:r w:rsidRPr="00D616FA">
                            <w:rPr>
                              <w:b/>
                            </w:rPr>
                            <w:t xml:space="preserve"> </w:t>
                          </w:r>
                        </w:p>
                      </w:txbxContent>
                    </v:textbox>
                  </v:shape>
                  <v:shape id="Text Box 290" o:spid="_x0000_s1049" type="#_x0000_t202" style="position:absolute;left:2648;top:6398;width:2160;height:8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MwMMA&#10;AADaAAAADwAAAGRycy9kb3ducmV2LnhtbESP3WrCQBSE74W+w3IK3pS6UVBL6irFH/DnKtoHOGaP&#10;2dDs2ZhdY/r2XaHg5TAz3zCzRWcr0VLjS8cKhoMEBHHudMmFgu/T5v0DhA/IGivHpOCXPCzmL70Z&#10;ptrdOaP2GAoRIexTVGBCqFMpfW7Ioh+4mjh6F9dYDFE2hdQN3iPcVnKUJBNpseS4YLCmpaH853iz&#10;Ctop7fx5v6bzaiXfDGXtlQ8Xpfqv3dcniEBdeIb/21utYAyPK/EGyP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kMwMMAAADaAAAADwAAAAAAAAAAAAAAAACYAgAAZHJzL2Rv&#10;d25yZXYueG1sUEsFBgAAAAAEAAQA9QAAAIgDAAAAAA==&#10;" fillcolor="silver" stroked="f">
                    <v:textbox>
                      <w:txbxContent>
                        <w:p w14:paraId="70721BAB" w14:textId="77777777" w:rsidR="00CE4DB6" w:rsidRPr="008C0F1A" w:rsidRDefault="00CE4DB6" w:rsidP="00CE4DB6">
                          <w:pPr>
                            <w:jc w:val="center"/>
                          </w:pPr>
                          <w:r>
                            <w:t>Transformation des rapports travail-capital et du partage de la VA</w:t>
                          </w:r>
                        </w:p>
                      </w:txbxContent>
                    </v:textbox>
                  </v:shape>
                  <v:shape id="Text Box 291" o:spid="_x0000_s1050" type="#_x0000_t202" style="position:absolute;left:7688;top:4382;width:1296;height:8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uSt8EA&#10;AADaAAAADwAAAGRycy9kb3ducmV2LnhtbESP3YrCMBSE7xd8h3AEb5Y11QtXukYRf0DdK3Uf4Ngc&#10;m7LNSW1irW9vBMHLYWa+YSaz1paiodoXjhUM+gkI4szpgnMFf8f11xiED8gaS8ek4E4eZtPOxwRT&#10;7W68p+YQchEh7FNUYEKoUil9Zsii77uKOHpnV1sMUda51DXeItyWcpgkI2mx4LhgsKKFoez/cLUK&#10;mm/a+tNuRaflUn4a2jcX/j0r1eu28x8QgdrwDr/aG61gBM8r8QbI6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7krfBAAAA2gAAAA8AAAAAAAAAAAAAAAAAmAIAAGRycy9kb3du&#10;cmV2LnhtbFBLBQYAAAAABAAEAPUAAACGAwAAAAA=&#10;" fillcolor="silver" stroked="f">
                    <v:textbox>
                      <w:txbxContent>
                        <w:p w14:paraId="649C6A3A" w14:textId="77777777" w:rsidR="00CE4DB6" w:rsidRPr="008C0F1A" w:rsidRDefault="00CE4DB6" w:rsidP="00CE4DB6">
                          <w:pPr>
                            <w:jc w:val="center"/>
                          </w:pPr>
                          <w:r>
                            <w:t>Nouvelle organisation du travail</w:t>
                          </w:r>
                        </w:p>
                      </w:txbxContent>
                    </v:textbox>
                  </v:shape>
                  <v:shape id="Text Box 292" o:spid="_x0000_s1051" type="#_x0000_t202" style="position:absolute;left:7112;top:3662;width:1728;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3LMEA&#10;AADaAAAADwAAAGRycy9kb3ducmV2LnhtbESP3YrCMBSE7xd8h3AEb5Y11QuVrlHEH9D1St0HODbH&#10;pmxzUptY69ubBcHLYWa+Yabz1paiodoXjhUM+gkI4szpgnMFv6fN1wSED8gaS8ek4EEe5rPOxxRT&#10;7e58oOYYchEh7FNUYEKoUil9Zsii77uKOHoXV1sMUda51DXeI9yWcpgkI2mx4LhgsKKloezveLMK&#10;mjHt/PlnTefVSn4aOjRX3l+U6nXbxTeIQG14h1/trVYwhv8r8QbI2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f3NyzBAAAA2gAAAA8AAAAAAAAAAAAAAAAAmAIAAGRycy9kb3du&#10;cmV2LnhtbFBLBQYAAAAABAAEAPUAAACGAwAAAAA=&#10;" fillcolor="silver" stroked="f">
                    <v:textbox>
                      <w:txbxContent>
                        <w:p w14:paraId="5FA41DB1" w14:textId="77777777" w:rsidR="00CE4DB6" w:rsidRPr="008C0F1A" w:rsidRDefault="00CE4DB6" w:rsidP="00CE4DB6">
                          <w:pPr>
                            <w:jc w:val="center"/>
                          </w:pPr>
                          <w:r>
                            <w:t xml:space="preserve">Nouveaux </w:t>
                          </w:r>
                          <w:proofErr w:type="spellStart"/>
                          <w:r>
                            <w:t>process</w:t>
                          </w:r>
                          <w:proofErr w:type="spellEnd"/>
                        </w:p>
                      </w:txbxContent>
                    </v:textbox>
                  </v:shape>
                  <v:shape id="Text Box 293" o:spid="_x0000_s1052" type="#_x0000_t202" style="position:absolute;left:4952;top:3662;width:1584;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Qk8cMA&#10;AADbAAAADwAAAGRycy9kb3ducmV2LnhtbESPQW/CMAyF75P4D5GRuEyQjsOGCgFNsEmMnWD7AaYx&#10;TbXGKU1Wyr/HByRutt7ze58Xq97XqqM2VoENvEwyUMRFsBWXBn5/PsczUDEhW6wDk4ErRVgtB08L&#10;zG248J66QyqVhHDM0YBLqcm1joUjj3ESGmLRTqH1mGRtS21bvEi4r/U0y161x4qlwWFDa0fF3+Hf&#10;G+je6Csedx903Gz0s6N9d+bvkzGjYf8+B5WoTw/z/XprBV/o5RcZQC9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oQk8cMAAADbAAAADwAAAAAAAAAAAAAAAACYAgAAZHJzL2Rv&#10;d25yZXYueG1sUEsFBgAAAAAEAAQA9QAAAIgDAAAAAA==&#10;" fillcolor="silver" stroked="f">
                    <v:textbox>
                      <w:txbxContent>
                        <w:p w14:paraId="3613FB59" w14:textId="77777777" w:rsidR="00CE4DB6" w:rsidRPr="008C0F1A" w:rsidRDefault="00CE4DB6" w:rsidP="00CE4DB6">
                          <w:pPr>
                            <w:jc w:val="center"/>
                          </w:pPr>
                          <w:r>
                            <w:t>Nouveaux biens</w:t>
                          </w:r>
                        </w:p>
                      </w:txbxContent>
                    </v:textbox>
                  </v:shape>
                  <v:shape id="Text Box 294" o:spid="_x0000_s1053" type="#_x0000_t202" style="position:absolute;left:5384;top:5534;width:2160;height:8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iBasAA&#10;AADbAAAADwAAAGRycy9kb3ducmV2LnhtbERPzYrCMBC+C75DGGEvoql7cKUaRXSF1T358wBjMzbF&#10;ZtJtYu2+vREEb/Px/c5s0dpSNFT7wrGC0TABQZw5XXCu4HTcDCYgfEDWWDomBf/kYTHvdmaYanfn&#10;PTWHkIsYwj5FBSaEKpXSZ4Ys+qGriCN3cbXFEGGdS13jPYbbUn4myVhaLDg2GKxoZSi7Hm5WQfNF&#10;W3/efdN5vZZ9Q/vmj38vSn302uUURKA2vMUv94+O80fw/CUeIO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ciBasAAAADbAAAADwAAAAAAAAAAAAAAAACYAgAAZHJzL2Rvd25y&#10;ZXYueG1sUEsFBgAAAAAEAAQA9QAAAIUDAAAAAA==&#10;" fillcolor="silver" stroked="f">
                    <v:textbox>
                      <w:txbxContent>
                        <w:p w14:paraId="379E5C53" w14:textId="77777777" w:rsidR="00CE4DB6" w:rsidRPr="008C0F1A" w:rsidRDefault="00CE4DB6" w:rsidP="00CE4DB6">
                          <w:pPr>
                            <w:jc w:val="center"/>
                          </w:pPr>
                          <w:r>
                            <w:t>Nouvelles demandes sur le marché du travail (qualifications)</w:t>
                          </w:r>
                        </w:p>
                      </w:txbxContent>
                    </v:textbox>
                  </v:shape>
                  <v:shape id="Text Box 295" o:spid="_x0000_s1054" type="#_x0000_t202" style="position:absolute;left:7112;top:1934;width:1872;height:12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fHcAA&#10;AADbAAAADwAAAGRycy9kb3ducmV2LnhtbERP24rCMBB9X/Afwgi+LJquD7tSjSJewHWfvHzA2IxN&#10;sZl0m1jr3xtB8G0O5zqTWWtL0VDtC8cKvgYJCOLM6YJzBcfDuj8C4QOyxtIxKbiTh9m08zHBVLsb&#10;76jZh1zEEPYpKjAhVKmUPjNk0Q9cRRy5s6sthgjrXOoabzHclnKYJN/SYsGxwWBFC0PZZX+1Cpof&#10;+vWn7YpOy6X8NLRr/vnvrFSv287HIAK14S1+uTc6zh/C85d4gJw+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ofHcAAAADbAAAADwAAAAAAAAAAAAAAAACYAgAAZHJzL2Rvd25y&#10;ZXYueG1sUEsFBgAAAAAEAAQA9QAAAIUDAAAAAA==&#10;" fillcolor="silver" stroked="f">
                    <v:textbox>
                      <w:txbxContent>
                        <w:p w14:paraId="5148B192" w14:textId="77777777" w:rsidR="00CE4DB6" w:rsidRPr="008C0F1A" w:rsidRDefault="00CE4DB6" w:rsidP="00CE4DB6">
                          <w:pPr>
                            <w:jc w:val="center"/>
                          </w:pPr>
                          <w:r>
                            <w:t>Nouvelles demandes sur les marchés des biens intermédiaires et des biens d’équipements</w:t>
                          </w:r>
                        </w:p>
                      </w:txbxContent>
                    </v:textbox>
                  </v:shape>
                  <v:line id="Line 296" o:spid="_x0000_s1055" style="position:absolute;visibility:visible;mso-wrap-style:square" from="4376,3806" to="4952,38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uWS8IAAADbAAAADwAAAGRycy9kb3ducmV2LnhtbERP32vCMBB+F/wfwgl709QN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muWS8IAAADbAAAADwAAAAAAAAAAAAAA&#10;AAChAgAAZHJzL2Rvd25yZXYueG1sUEsFBgAAAAAEAAQA+QAAAJADAAAAAA==&#10;">
                    <v:stroke endarrow="block"/>
                  </v:line>
                  <v:line id="Line 297" o:spid="_x0000_s1056" style="position:absolute;visibility:visible;mso-wrap-style:square" from="6536,3806" to="7112,3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IOP8IAAADbAAAADwAAAGRycy9kb3ducmV2LnhtbERP32vCMBB+F/wfwgl709Qx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YIOP8IAAADbAAAADwAAAAAAAAAAAAAA&#10;AAChAgAAZHJzL2Rvd25yZXYueG1sUEsFBgAAAAAEAAQA+QAAAJADAAAAAA==&#10;">
                    <v:stroke endarrow="block"/>
                  </v:line>
                  <v:line id="Line 298" o:spid="_x0000_s1057" style="position:absolute;flip:y;visibility:visible;mso-wrap-style:square" from="7976,3230" to="7976,36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VOycQAAADbAAAADwAAAGRycy9kb3ducmV2LnhtbESPwUrDQBCG74LvsIzQS2g3bUE0dhO0&#10;tiBID9YePA7ZMQlmZ0N2bOPbOwfB4/DP/803m2oKvTnTmLrIDpaLHAxxHX3HjYPT+35+ByYJssc+&#10;Mjn4oQRVeX21wcLHC7/R+SiNUQinAh20IkNhbapbCpgWcSDW7DOOAUXHsbF+xIvCQ29XeX5rA3as&#10;F1ocaNtS/XX8DqqxP/Dzep09BZtl97T7kNfcinOzm+nxAYzQJP/Lf+0X72ClsvqLAsCW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BU7JxAAAANsAAAAPAAAAAAAAAAAA&#10;AAAAAKECAABkcnMvZG93bnJldi54bWxQSwUGAAAAAAQABAD5AAAAkgMAAAAA&#10;">
                    <v:stroke endarrow="block"/>
                  </v:line>
                  <v:line id="Line 299" o:spid="_x0000_s1058" style="position:absolute;visibility:visible;mso-wrap-style:square" from="7976,4094" to="7976,43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9rHMQAAADbAAAADwAAAGRycy9kb3ducmV2LnhtbESPQWsCMRSE7wX/Q3iCt5rVg3ZXo4hL&#10;wYMtqKXn5+a5Wdy8LJt0Tf99Uyj0OMzMN8x6G20rBup941jBbJqBIK6cbrhW8HF5fX4B4QOyxtYx&#10;KfgmD9vN6GmNhXYPPtFwDrVIEPYFKjAhdIWUvjJk0U9dR5y8m+sthiT7WuoeHwluWznPsoW02HBa&#10;MNjR3lB1P39ZBUtTnuRSlsfLezk0szy+xc9rrtRkHHcrEIFi+A//tQ9awT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72scxAAAANsAAAAPAAAAAAAAAAAA&#10;AAAAAKECAABkcnMvZG93bnJldi54bWxQSwUGAAAAAAQABAD5AAAAkgMAAAAA&#10;">
                    <v:stroke endarrow="block"/>
                  </v:line>
                  <v:line id="Line 300" o:spid="_x0000_s1059" style="position:absolute;visibility:visible;mso-wrap-style:square" from="7976,5246" to="7976,59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RX6MIAAADbAAAADwAAAGRycy9kb3ducmV2LnhtbERPy2rCQBTdF/oPwy10VydWCBIdRSwF&#10;7ULqA3R5zVyTaOZOmJkm8e87C8Hl4byn897UoiXnK8sKhoMEBHFudcWFgsP++2MMwgdkjbVlUnAn&#10;D/PZ68sUM2073lK7C4WIIewzVFCG0GRS+rwkg35gG+LIXawzGCJ0hdQOuxhuavmZJKk0WHFsKLGh&#10;ZUn5bfdnFGxGv2m7WP+s+uM6Pedf2/Pp2jml3t/6xQREoD48xQ/3SisYxfX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RX6MIAAADbAAAADwAAAAAAAAAAAAAA&#10;AAChAgAAZHJzL2Rvd25yZXYueG1sUEsFBgAAAAAEAAQA+QAAAJADAAAAAA==&#10;"/>
                  <v:line id="Line 301" o:spid="_x0000_s1060" style="position:absolute;flip:x;visibility:visible;mso-wrap-style:square" from="7544,5966" to="7976,59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ZxicQAAADbAAAADwAAAGRycy9kb3ducmV2LnhtbESPQWvCQBCF7wX/wzJCL6FubEBsdBXb&#10;KhTEg9pDj0N2TILZ2ZCdavz3XUHo8fHmfW/efNm7Rl2oC7VnA+NRCoq48Lbm0sD3cfMyBRUE2WLj&#10;mQzcKMByMXiaY279lfd0OUipIoRDjgYqkTbXOhQVOQwj3xJH7+Q7hxJlV2rb4TXCXaNf03SiHdYc&#10;Gyps6aOi4nz4dfGNzY4/syx5dzpJ3mj9I9tUizHPw341AyXUy//xI/1lDWRjuG+JANC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5nGJxAAAANsAAAAPAAAAAAAAAAAA&#10;AAAAAKECAABkcnMvZG93bnJldi54bWxQSwUGAAAAAAQABAD5AAAAkgMAAAAA&#10;">
                    <v:stroke endarrow="block"/>
                  </v:line>
                  <v:line id="Line 302" o:spid="_x0000_s1061" style="position:absolute;flip:x;visibility:visible;mso-wrap-style:square" from="7256,4670" to="7688,46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Tv/sQAAADbAAAADwAAAGRycy9kb3ducmV2LnhtbESPT2vCQBDF70K/wzIFL6FuNFDa1FXq&#10;PxBKD0176HHITpPQ7GzIjhq/vSsIHh9v3u/Nmy8H16oj9aHxbGA6SUERl942XBn4+d49vYAKgmyx&#10;9UwGzhRguXgYzTG3/sRfdCykUhHCIUcDtUiXax3KmhyGie+Io/fne4cSZV9p2+Mpwl2rZ2n6rB02&#10;HBtq7GhdU/lfHFx8Y/fJmyxLVk4nySttf+Uj1WLM+HF4fwMlNMj9+JbeWwPZDK5bIgD04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NO/+xAAAANsAAAAPAAAAAAAAAAAA&#10;AAAAAKECAABkcnMvZG93bnJldi54bWxQSwUGAAAAAAQABAD5AAAAkgMAAAAA&#10;">
                    <v:stroke endarrow="block"/>
                  </v:line>
                  <v:shape id="Text Box 303" o:spid="_x0000_s1062" type="#_x0000_t202" style="position:absolute;left:4664;top:2222;width:1872;height:8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Pm5sMA&#10;AADbAAAADwAAAGRycy9kb3ducmV2LnhtbESP3WoCMRSE7wu+QziCN1KzKrSyNYr4A9peqX2A4+a4&#10;Wbo5WTdxXd/eCEIvh5n5hpnOW1uKhmpfOFYwHCQgiDOnC84V/B437xMQPiBrLB2Tgjt5mM86b1NM&#10;tbvxnppDyEWEsE9RgQmhSqX0mSGLfuAq4uidXW0xRFnnUtd4i3BbylGSfEiLBccFgxUtDWV/h6tV&#10;0HzSzp++13RarWTf0L658M9ZqV63XXyBCNSG//CrvdUKxmN4fok/QM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ePm5sMAAADbAAAADwAAAAAAAAAAAAAAAACYAgAAZHJzL2Rv&#10;d25yZXYueG1sUEsFBgAAAAAEAAQA9QAAAIgDAAAAAA==&#10;" fillcolor="silver" stroked="f">
                    <v:textbox>
                      <w:txbxContent>
                        <w:p w14:paraId="6CD10A93" w14:textId="77777777" w:rsidR="00CE4DB6" w:rsidRPr="00FD4CC6" w:rsidRDefault="00CE4DB6" w:rsidP="00CE4DB6">
                          <w:pPr>
                            <w:jc w:val="center"/>
                            <w:rPr>
                              <w:i/>
                              <w:iCs/>
                            </w:rPr>
                          </w:pPr>
                          <w:r>
                            <w:t xml:space="preserve">Diffusion des </w:t>
                          </w:r>
                          <w:proofErr w:type="spellStart"/>
                          <w:r w:rsidRPr="00FD4CC6">
                            <w:rPr>
                              <w:i/>
                              <w:iCs/>
                            </w:rPr>
                            <w:t>leading</w:t>
                          </w:r>
                          <w:proofErr w:type="spellEnd"/>
                          <w:r w:rsidRPr="00FD4CC6">
                            <w:rPr>
                              <w:i/>
                              <w:iCs/>
                            </w:rPr>
                            <w:t xml:space="preserve"> </w:t>
                          </w:r>
                          <w:proofErr w:type="spellStart"/>
                          <w:r w:rsidRPr="00FD4CC6">
                            <w:rPr>
                              <w:i/>
                              <w:iCs/>
                            </w:rPr>
                            <w:t>sectors</w:t>
                          </w:r>
                          <w:proofErr w:type="spellEnd"/>
                          <w:r>
                            <w:t xml:space="preserve"> aux </w:t>
                          </w:r>
                          <w:proofErr w:type="spellStart"/>
                          <w:r w:rsidRPr="00FD4CC6">
                            <w:rPr>
                              <w:i/>
                              <w:iCs/>
                            </w:rPr>
                            <w:t>following</w:t>
                          </w:r>
                          <w:proofErr w:type="spellEnd"/>
                          <w:r w:rsidRPr="00FD4CC6">
                            <w:rPr>
                              <w:i/>
                              <w:iCs/>
                            </w:rPr>
                            <w:t xml:space="preserve"> </w:t>
                          </w:r>
                          <w:proofErr w:type="spellStart"/>
                          <w:r w:rsidRPr="00FD4CC6">
                            <w:rPr>
                              <w:i/>
                              <w:iCs/>
                            </w:rPr>
                            <w:t>sectors</w:t>
                          </w:r>
                          <w:proofErr w:type="spellEnd"/>
                        </w:p>
                      </w:txbxContent>
                    </v:textbox>
                  </v:shape>
                  <v:line id="Line 304" o:spid="_x0000_s1063" style="position:absolute;flip:x;visibility:visible;mso-wrap-style:square" from="4088,2510" to="4664,25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5HSEcUAAADbAAAADwAAAGRycy9kb3ducmV2LnhtbESPT2vCQBDF7wW/wzJCL6FuaorU6CrW&#10;PyCUHrQ9eByyYxLMzobsVNNv3xUKPT7evN+bN1/2rlFX6kLt2cDzKAVFXHhbc2ng63P39AoqCLLF&#10;xjMZ+KEAy8XgYY659Tc+0PUopYoQDjkaqETaXOtQVOQwjHxLHL2z7xxKlF2pbYe3CHeNHqfpRDus&#10;OTZU2NK6ouJy/Hbxjd0Hb7IseXM6Saa0Pcl7qsWYx2G/moES6uX/+C+9twayF7hviQDQi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5HSEcUAAADbAAAADwAAAAAAAAAA&#10;AAAAAAChAgAAZHJzL2Rvd25yZXYueG1sUEsFBgAAAAAEAAQA+QAAAJMDAAAAAA==&#10;">
                    <v:stroke endarrow="block"/>
                  </v:line>
                  <v:line id="Line 305" o:spid="_x0000_s1064" style="position:absolute;visibility:visible;mso-wrap-style:square" from="5816,3086" to="5816,36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2iil8UAAADbAAAADwAAAGRycy9kb3ducmV2LnhtbESPQWvCQBSE74L/YXlCb7qJ0qaNrsEW&#10;CinqoVY8P7LPJJh9G7KrSfvru4WCx2FmvmFW2WAacaPO1ZYVxLMIBHFhdc2lguPX+/QZhPPIGhvL&#10;pOCbHGTr8WiFqbY9f9Lt4EsRIOxSVFB536ZSuqIig25mW+LgnW1n0AfZlVJ32Ae4aeQ8ip6kwZrD&#10;QoUtvVVUXA5Xo2B79T/J8bTAXfxafhTblxz3Sa7Uw2TYLEF4Gvw9/N/OtYLFI/x9CT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2iil8UAAADbAAAADwAAAAAAAAAA&#10;AAAAAAChAgAAZHJzL2Rvd25yZXYueG1sUEsFBgAAAAAEAAQA+QAAAJMDAAAAAA==&#10;">
                    <v:stroke dashstyle="dash" endarrow="block"/>
                  </v:line>
                  <v:line id="Line 306" o:spid="_x0000_s1065" style="position:absolute;visibility:visible;mso-wrap-style:square" from="5960,3086" to="5960,33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lVsQAAADbAAAADwAAAGRycy9kb3ducmV2LnhtbESPX2vCMBTF34V9h3AHe9N0E4qrRhkD&#10;wYduwzr2fGmubbW5qUlsu2+/CMIeD+fPj7PajKYVPTnfWFbwPEtAEJdWN1wp+D5spwsQPiBrbC2T&#10;gl/ysFk/TFaYaTvwnvoiVCKOsM9QQR1Cl0npy5oM+pntiKN3tM5giNJVUjsc4rhp5UuSpNJgw5FQ&#10;Y0fvNZXn4moit6xyd/k5ncfd8SPfXrh//Tx8KfX0OL4tQQQaw3/43t5pBfMUbl/iD5D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j+VWxAAAANsAAAAPAAAAAAAAAAAA&#10;AAAAAKECAABkcnMvZG93bnJldi54bWxQSwUGAAAAAAQABAD5AAAAkgMAAAAA&#10;">
                    <v:stroke dashstyle="dash"/>
                  </v:line>
                  <v:line id="Line 307" o:spid="_x0000_s1066" style="position:absolute;visibility:visible;mso-wrap-style:square" from="5960,3374" to="7544,33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8NAzcQAAADbAAAADwAAAGRycy9kb3ducmV2LnhtbESPS2sCMRSF90L/Q7iF7mqmLagdJ0op&#10;CC584FhcXyZ3HnVyMybpOP33jVBweTiPj5MtB9OKnpxvLCt4GScgiAurG64UfB1XzzMQPiBrbC2T&#10;gl/ysFw8jDJMtb3ygfo8VCKOsE9RQR1Cl0rpi5oM+rHtiKNXWmcwROkqqR1e47hp5WuSTKTBhiOh&#10;xo4+ayrO+Y+J3KLauMvp+zysy+1mdeH+fXfcK/X0OHzMQQQawj38315rBW9TuH2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w0DNxAAAANsAAAAPAAAAAAAAAAAA&#10;AAAAAKECAABkcnMvZG93bnJldi54bWxQSwUGAAAAAAQABAD5AAAAkgMAAAAA&#10;">
                    <v:stroke dashstyle="dash"/>
                  </v:line>
                  <v:line id="Line 308" o:spid="_x0000_s1067" style="position:absolute;visibility:visible;mso-wrap-style:square" from="7544,3374" to="7544,36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WkNCcAAAADbAAAADwAAAGRycy9kb3ducmV2LnhtbERPy4rCMBTdC/5DuIK7MVVh1GoUFYSK&#10;48IHri/NtS02N6WJWufrzUJweTjv2aIxpXhQ7QrLCvq9CARxanXBmYLzafMzBuE8ssbSMil4kYPF&#10;vN2aYaztkw/0OPpMhBB2MSrIva9iKV2ak0HXsxVx4K62NugDrDOpa3yGcFPKQRT9SoMFh4YcK1rn&#10;lN6Od6Ngd/f/o/NliH/9VbZNd5ME96NEqW6nWU5BeGr8V/xxJ1rBMIwNX8IPkPM3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FpDQnAAAAA2wAAAA8AAAAAAAAAAAAAAAAA&#10;oQIAAGRycy9kb3ducmV2LnhtbFBLBQYAAAAABAAEAPkAAACOAwAAAAA=&#10;">
                    <v:stroke dashstyle="dash" endarrow="block"/>
                  </v:line>
                  <v:shape id="Text Box 309" o:spid="_x0000_s1068" type="#_x0000_t202" style="position:absolute;left:5960;top:4382;width:1296;height:8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vRDMMA&#10;AADbAAAADwAAAGRycy9kb3ducmV2LnhtbESP3WoCMRSE7wu+QziCN6VmtVDtahRRC/5cafsAx81x&#10;s7g5WTdxXd/eFAq9HGbmG2Y6b20pGqp94VjBoJ+AIM6cLjhX8PP99TYG4QOyxtIxKXiQh/ms8zLF&#10;VLs7H6g5hlxECPsUFZgQqlRKnxmy6PuuIo7e2dUWQ5R1LnWN9wi3pRwmyYe0WHBcMFjR0lB2Od6s&#10;gmZEW3/arem0WslXQ4fmyvuzUr1uu5iACNSG//Bfe6MVvH/C75f4A+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AvRDMMAAADbAAAADwAAAAAAAAAAAAAAAACYAgAAZHJzL2Rv&#10;d25yZXYueG1sUEsFBgAAAAAEAAQA9QAAAIgDAAAAAA==&#10;" fillcolor="silver" stroked="f">
                    <v:textbox>
                      <w:txbxContent>
                        <w:p w14:paraId="2A8F8FC2" w14:textId="77777777" w:rsidR="00CE4DB6" w:rsidRPr="008C0F1A" w:rsidRDefault="00CE4DB6" w:rsidP="00CE4DB6">
                          <w:pPr>
                            <w:jc w:val="center"/>
                          </w:pPr>
                          <w:r>
                            <w:t>Gains de productivité du travail</w:t>
                          </w:r>
                        </w:p>
                      </w:txbxContent>
                    </v:textbox>
                  </v:shape>
                  <v:line id="Line 310" o:spid="_x0000_s1069" style="position:absolute;flip:x;visibility:visible;mso-wrap-style:square" from="5240,4670" to="5960,46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ynb8QAAADbAAAADwAAAGRycy9kb3ducmV2LnhtbESPwUrDQBCG74LvsIzgJbQbrYjGbIpt&#10;LQjFg60Hj0N2TILZ2ZCdtvHtnYPgcfjn/+abcjmF3pxoTF1kBzfzHAxxHX3HjYOPw3b2ACYJssc+&#10;Mjn4oQTL6vKixMLHM7/TaS+NUQinAh20IkNhbapbCpjmcSDW7CuOAUXHsbF+xLPCQ29v8/zeBuxY&#10;L7Q40Lql+nt/DKqxfePNYpGtgs2yR3r5lF1uxbnrq+n5CYzQJP/Lf+1X7+BO7fUXBYCt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srKdvxAAAANsAAAAPAAAAAAAAAAAA&#10;AAAAAKECAABkcnMvZG93bnJldi54bWxQSwUGAAAAAAQABAD5AAAAkgMAAAAA&#10;">
                    <v:stroke endarrow="block"/>
                  </v:line>
                  <v:line id="Line 311" o:spid="_x0000_s1070" style="position:absolute;flip:x;visibility:visible;mso-wrap-style:square" from="3944,5678" to="5384,56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C9MQAAADbAAAADwAAAGRycy9kb3ducmV2LnhtbESPQWvCQBCF70L/wzIFL0E3Vik1dZW2&#10;KhSkh0YPPQ7ZaRKanQ3ZUeO/dwuCx8eb9715i1XvGnWiLtSeDUzGKSjiwtuaSwOH/Xb0AioIssXG&#10;Mxm4UIDV8mGwwMz6M3/TKZdSRQiHDA1UIm2mdSgqchjGviWO3q/vHEqUXalth+cId41+StNn7bDm&#10;2FBhSx8VFX/50cU3tl+8nk6Td6eTZE6bH9mlWowZPvZvr6CEerkf39Kf1sBsAv9bIgD08go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4AL0xAAAANsAAAAPAAAAAAAAAAAA&#10;AAAAAKECAABkcnMvZG93bnJldi54bWxQSwUGAAAAAAQABAD5AAAAkgMAAAAA&#10;">
                    <v:stroke endarrow="block"/>
                  </v:line>
                  <v:line id="Line 312" o:spid="_x0000_s1071" style="position:absolute;flip:x;visibility:visible;mso-wrap-style:square" from="6536,2654" to="7112,26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zKcg8QAAADbAAAADwAAAGRycy9kb3ducmV2LnhtbESPT2vCQBDF70K/wzIFL0E3apGauor9&#10;IwjioeqhxyE7TUKzsyE7avz2rlDw+Hjzfm/efNm5Wp2pDZVnA6NhCoo497biwsDxsB68ggqCbLH2&#10;TAauFGC5eOrNMbP+wt903kuhIoRDhgZKkSbTOuQlOQxD3xBH79e3DiXKttC2xUuEu1qP03SqHVYc&#10;G0ps6KOk/G9/cvGN9Y4/J5Pk3ekkmdHXj2xTLcb0n7vVGyihTh7H/+mNNfAyhvuWCAC9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MpyDxAAAANsAAAAPAAAAAAAAAAAA&#10;AAAAAKECAABkcnMvZG93bnJldi54bWxQSwUGAAAAAAQABAD5AAAAkgMAAAAA&#10;">
                    <v:stroke endarrow="block"/>
                  </v:line>
                  <v:line id="Line 313" o:spid="_x0000_s1072" style="position:absolute;flip:x;visibility:visible;mso-wrap-style:square" from="4664,5102" to="5960,51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CKTCcUAAADbAAAADwAAAGRycy9kb3ducmV2LnhtbESPQWsCMRSE74L/IbxCL6VmrVJ0NYoU&#10;Ch68VGXF23Pzull287JNUt3++6ZQ8DjMzDfMct3bVlzJh9qxgvEoA0FcOl1zpeB4eH+egQgRWWPr&#10;mBT8UID1ajhYYq7djT/ouo+VSBAOOSowMXa5lKE0ZDGMXEecvE/nLcYkfSW1x1uC21a+ZNmrtFhz&#10;WjDY0Zuhstl/WwVytnv68pvLtCma02luirLozjulHh/6zQJEpD7ew//trVYwncDfl/QD5Oo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CKTCcUAAADbAAAADwAAAAAAAAAA&#10;AAAAAAChAgAAZHJzL2Rvd25yZXYueG1sUEsFBgAAAAAEAAQA+QAAAJMDAAAAAA==&#10;"/>
                  <v:line id="Line 314" o:spid="_x0000_s1073" style="position:absolute;visibility:visible;mso-wrap-style:square" from="4664,5102" to="4665,63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jEhIsQAAADbAAAADwAAAGRycy9kb3ducmV2LnhtbESPS2vDMBCE74X8B7GB3Bo5JeThRgmh&#10;ppBDU8iDnrfW1jKxVsZSHfXfR4FCjsPMfMOsNtE2oqfO144VTMYZCOLS6ZorBefT+/MChA/IGhvH&#10;pOCPPGzWg6cV5tpd+UD9MVQiQdjnqMCE0OZS+tKQRT92LXHyflxnMSTZVVJ3eE1w28iXLJtJizWn&#10;BYMtvRkqL8dfq2BuioOcy+Lj9Fn09WQZ9/Hre6nUaBi3ryACxfAI/7d3WsF0Cvcv6QfI9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MSEixAAAANsAAAAPAAAAAAAAAAAA&#10;AAAAAKECAABkcnMvZG93bnJldi54bWxQSwUGAAAAAAQABAD5AAAAkgMAAAAA&#10;">
                    <v:stroke endarrow="block"/>
                  </v:line>
                  <v:shape id="Text Box 315" o:spid="_x0000_s1074" type="#_x0000_t202" style="position:absolute;left:2504;top:2366;width:1586;height:3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CodMMA&#10;AADbAAAADwAAAGRycy9kb3ducmV2LnhtbESP3WoCMRSE7wu+QziCN6VmlVbLahRRC/5cafsAx81x&#10;s7g5WTdxXd/eFAq9HGbmG2Y6b20pGqp94VjBoJ+AIM6cLjhX8PP99fYJwgdkjaVjUvAgD/NZ52WK&#10;qXZ3PlBzDLmIEPYpKjAhVKmUPjNk0fddRRy9s6sthijrXOoa7xFuSzlMkpG0WHBcMFjR0lB2Od6s&#10;gmZMW3/arem0WslXQ4fmyvuzUr1uu5iACNSG//Bfe6MVvH/A75f4A+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UCodMMAAADbAAAADwAAAAAAAAAAAAAAAACYAgAAZHJzL2Rv&#10;d25yZXYueG1sUEsFBgAAAAAEAAQA9QAAAIgDAAAAAA==&#10;" fillcolor="silver" stroked="f">
                    <v:textbox>
                      <w:txbxContent>
                        <w:p w14:paraId="608ABD99" w14:textId="77777777" w:rsidR="00CE4DB6" w:rsidRPr="008C0F1A" w:rsidRDefault="00CE4DB6" w:rsidP="00CE4DB6">
                          <w:pPr>
                            <w:jc w:val="center"/>
                          </w:pPr>
                          <w:r>
                            <w:t>Investissement</w:t>
                          </w:r>
                        </w:p>
                      </w:txbxContent>
                    </v:textbox>
                  </v:shape>
                  <v:line id="Line 316" o:spid="_x0000_s1075" style="position:absolute;flip:x;visibility:visible;mso-wrap-style:square" from="4376,5966" to="5384,5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UwkcUAAADbAAAADwAAAGRycy9kb3ducmV2LnhtbESPQWsCMRSE70L/Q3iFXqRmLSJ2axQR&#10;BA9eqrLS2+vmdbPs5mVNom7/fVMQPA4z8w0zX/a2FVfyoXasYDzKQBCXTtdcKTgeNq8zECEia2wd&#10;k4JfCrBcPA3mmGt340+67mMlEoRDjgpMjF0uZSgNWQwj1xEn78d5izFJX0nt8ZbgtpVvWTaVFmtO&#10;CwY7Whsqm/3FKpCz3fDsV9+TpmhOp3dTlEX3tVPq5blffYCI1MdH+N7eagWTKfx/ST9AL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FUwkcUAAADbAAAADwAAAAAAAAAA&#10;AAAAAAChAgAAZHJzL2Rvd25yZXYueG1sUEsFBgAAAAAEAAQA+QAAAJMDAAAAAA==&#10;"/>
                  <v:line id="Line 317" o:spid="_x0000_s1076" style="position:absolute;visibility:visible;mso-wrap-style:square" from="4376,5966" to="4377,63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uO/VcQAAADbAAAADwAAAGRycy9kb3ducmV2LnhtbESPQWsCMRSE74X+h/AK3mrWUrq6NYq4&#10;FDxYQS09v26em8XNy7JJ1/jvm4LgcZiZb5j5MtpWDNT7xrGCyTgDQVw53XCt4Ov48TwF4QOyxtYx&#10;KbiSh+Xi8WGOhXYX3tNwCLVIEPYFKjAhdIWUvjJk0Y9dR5y8k+sthiT7WuoeLwluW/mSZW/SYsNp&#10;wWBHa0PV+fBrFeSm3MtcltvjrhyaySx+xu+fmVKjp7h6BxEohnv41t5oBa85/H9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479VxAAAANsAAAAPAAAAAAAAAAAA&#10;AAAAAKECAABkcnMvZG93bnJldi54bWxQSwUGAAAAAAQABAD5AAAAkgMAAAAA&#10;">
                    <v:stroke endarrow="block"/>
                  </v:line>
                  <v:shape id="Text Box 318" o:spid="_x0000_s1077" type="#_x0000_t202" style="position:absolute;left:2504;top:5102;width:1440;height:8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EH6sEA&#10;AADbAAAADwAAAGRycy9kb3ducmV2LnhtbERP3WrCMBS+F/YO4Qy8GZpOxhydaRmrg6lXOh/g2Byb&#10;suaka2Lbvb25ELz8+P5X+Wgb0VPna8cKnucJCOLS6ZorBcefr9kbCB+QNTaOScE/ecizh8kKU+0G&#10;3lN/CJWIIexTVGBCaFMpfWnIop+7ljhyZ9dZDBF2ldQdDjHcNnKRJK/SYs2xwWBLn4bK38PFKuiX&#10;tPGn7ZpORSGfDO37P96dlZo+jh/vIAKN4S6+ub+1gpc4Nn6JP0Bm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9BB+rBAAAA2wAAAA8AAAAAAAAAAAAAAAAAmAIAAGRycy9kb3du&#10;cmV2LnhtbFBLBQYAAAAABAAEAPUAAACGAwAAAAA=&#10;" fillcolor="silver" stroked="f">
                    <v:textbox>
                      <w:txbxContent>
                        <w:p w14:paraId="4598724B" w14:textId="77777777" w:rsidR="00CE4DB6" w:rsidRPr="008C0F1A" w:rsidRDefault="00CE4DB6" w:rsidP="00CE4DB6">
                          <w:pPr>
                            <w:jc w:val="center"/>
                          </w:pPr>
                          <w:r>
                            <w:t>Augmentation de la force de travail occupée</w:t>
                          </w:r>
                        </w:p>
                      </w:txbxContent>
                    </v:textbox>
                  </v:shape>
                  <v:line id="Line 319" o:spid="_x0000_s1078" style="position:absolute;visibility:visible;mso-wrap-style:square" from="2792,2798" to="2793,51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Pb78UAAADbAAAADwAAAGRycy9kb3ducmV2LnhtbESPQWvCQBSE74L/YXlCb7pJLU2NbsQK&#10;hRT1UCs9P7LPJJh9G7KrSfvru4WCx2FmvmFW68E04kadqy0riGcRCOLC6ppLBafPt+kLCOeRNTaW&#10;ScE3OVhn49EKU217/qDb0ZciQNilqKDyvk2ldEVFBt3MtsTBO9vOoA+yK6XusA9w08jHKHqWBmsO&#10;CxW2tK2ouByvRsHu6n+S09cc9/Fr+V7sFjkeklyph8mwWYLwNPh7+L+dawVPC/j7En6AzH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iPb78UAAADbAAAADwAAAAAAAAAA&#10;AAAAAAChAgAAZHJzL2Rvd25yZXYueG1sUEsFBgAAAAAEAAQA+QAAAJMDAAAAAA==&#10;">
                    <v:stroke dashstyle="dash" endarrow="block"/>
                  </v:line>
                  <v:shape id="Text Box 320" o:spid="_x0000_s1079" type="#_x0000_t202" style="position:absolute;left:3368;top:4238;width:1872;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QrbwA&#10;AADbAAAADwAAAGRycy9kb3ducmV2LnhtbERPvQrCMBDeBd8hnOCmqYIi1SgiChZc1C5uR3O2xeZS&#10;mmirT28GwfHj+19tOlOJFzWutKxgMo5AEGdWl5wrSK+H0QKE88gaK8uk4E0ONut+b4Wxti2f6XXx&#10;uQgh7GJUUHhfx1K6rCCDbmxr4sDdbWPQB9jkUjfYhnBTyWkUzaXBkkNDgTXtCsoel6dRULdMj22Z&#10;VAk/kySa7NPT7bNXajjotksQnjr/F//cR61gFtaHL+EHyP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f5pCtvAAAANsAAAAPAAAAAAAAAAAAAAAAAJgCAABkcnMvZG93bnJldi54&#10;bWxQSwUGAAAAAAQABAD1AAAAgQMAAAAA&#10;" fillcolor="gray" stroked="f">
                    <v:textbox>
                      <w:txbxContent>
                        <w:p w14:paraId="04658DAD" w14:textId="77777777" w:rsidR="00CE4DB6" w:rsidRPr="00FD4CC6" w:rsidRDefault="00CE4DB6" w:rsidP="00CE4DB6">
                          <w:pPr>
                            <w:jc w:val="center"/>
                            <w:rPr>
                              <w:b/>
                              <w:sz w:val="22"/>
                              <w:szCs w:val="22"/>
                            </w:rPr>
                          </w:pPr>
                          <w:r w:rsidRPr="00FD4CC6">
                            <w:rPr>
                              <w:b/>
                              <w:sz w:val="22"/>
                              <w:szCs w:val="22"/>
                            </w:rPr>
                            <w:t>Croissance des nouveaux marchés et du PIB</w:t>
                          </w:r>
                        </w:p>
                      </w:txbxContent>
                    </v:textbox>
                  </v:shape>
                  <v:line id="Line 321" o:spid="_x0000_s1080" style="position:absolute;visibility:visible;mso-wrap-style:square" from="2936,2798" to="2937,45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cX08YAAADbAAAADwAAAGRycy9kb3ducmV2LnhtbESPQWvCQBSE7wX/w/IKvdWNlgZ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IHF9PGAAAA2wAAAA8AAAAAAAAA&#10;AAAAAAAAoQIAAGRycy9kb3ducmV2LnhtbFBLBQYAAAAABAAEAPkAAACUAwAAAAA=&#10;"/>
                  <v:line id="Line 322" o:spid="_x0000_s1081" style="position:absolute;visibility:visible;mso-wrap-style:square" from="2936,4670" to="3368,4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02KEMQAAADbAAAADwAAAGRycy9kb3ducmV2LnhtbESPT2sCMRTE74V+h/AK3mpWwaqrUUoX&#10;wYMt+AfPz81zs3TzsmzSNX77plDwOMzMb5jlOtpG9NT52rGC0TADQVw6XXOl4HTcvM5A+ICssXFM&#10;Cu7kYb16flpirt2N99QfQiUShH2OCkwIbS6lLw1Z9EPXEifv6jqLIcmukrrDW4LbRo6z7E1arDkt&#10;GGzpw1D5ffixCqam2MupLHbHr6KvR/P4Gc+XuVKDl/i+ABEohkf4v73VCiZj+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7TYoQxAAAANsAAAAPAAAAAAAAAAAA&#10;AAAAAKECAABkcnMvZG93bnJldi54bWxQSwUGAAAAAAQABAD5AAAAkgMAAAAA&#10;">
                    <v:stroke endarrow="block"/>
                  </v:line>
                  <v:line id="Line 323" o:spid="_x0000_s1082" style="position:absolute;flip:x;visibility:visible;mso-wrap-style:square" from="2792,2942" to="4664,29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J9Ub8MAAADbAAAADwAAAGRycy9kb3ducmV2LnhtbESPQWvCQBSE74X+h+UVvNWNikXSbEIQ&#10;LaV4adT7S/Z1E8y+Ddmtpv++KxR6HGbmGyYrJtuLK42+c6xgMU9AEDdOd2wUnI775w0IH5A19o5J&#10;wQ95KPLHhwxT7W78SdcqGBEh7FNU0IYwpFL6piWLfu4G4uh9udFiiHI0Uo94i3Dby2WSvEiLHceF&#10;FgfattRcqm+roN6VZ/NRn3d2yQf9ZtZVzbJSavY0la8gAk3hP/zXftcK1iu4f4k/QOa/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ifVG/DAAAA2wAAAA8AAAAAAAAAAAAA&#10;AAAAoQIAAGRycy9kb3ducmV2LnhtbFBLBQYAAAAABAAEAPkAAACRAwAAAAA=&#10;">
                    <v:stroke dashstyle="dash"/>
                  </v:line>
                  <v:line id="Line 324" o:spid="_x0000_s1083" style="position:absolute;flip:y;visibility:visible;mso-wrap-style:square" from="2936,4670" to="2936,51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KdoMUAAADbAAAADwAAAGRycy9kb3ducmV2LnhtbESPQWsCMRSE74L/IbxCL1KzFi26GkUK&#10;hR681JYVb8/N62bZzcs2SXX77xtB8DjMzDfMatPbVpzJh9qxgsk4A0FcOl1zpeDr8+1pDiJEZI2t&#10;Y1LwRwE26+Fghbl2F/6g8z5WIkE45KjAxNjlUobSkMUwdh1x8r6dtxiT9JXUHi8Jblv5nGUv0mLN&#10;acFgR6+Gymb/axXI+W7047enaVM0h8PCFGXRHXdKPT702yWISH28h2/td61gNoXrl/QD5P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hKdoMUAAADbAAAADwAAAAAAAAAA&#10;AAAAAAChAgAAZHJzL2Rvd25yZXYueG1sUEsFBgAAAAAEAAQA+QAAAJMDAAAAAA==&#10;"/>
                  <v:line id="Line 325" o:spid="_x0000_s1084" style="position:absolute;visibility:visible;mso-wrap-style:square" from="2936,4526" to="3368,45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KQSZMQAAADbAAAADwAAAGRycy9kb3ducmV2LnhtbESPS2vDMBCE74X8B7GB3Bo5hbzcKCHU&#10;FHJoCnnQ89baWibWyliqo/77KFDIcZiZb5jVJtpG9NT52rGCyTgDQVw6XXOl4Hx6f16A8AFZY+OY&#10;FPyRh8168LTCXLsrH6g/hkokCPscFZgQ2lxKXxqy6MeuJU7ej+sshiS7SuoOrwluG/mSZTNpsea0&#10;YLClN0Pl5fhrFcxNcZBzWXycPou+nizjPn59L5UaDeP2FUSgGB7h//ZOK5hO4f4l/QC5v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0pBJkxAAAANsAAAAPAAAAAAAAAAAA&#10;AAAAAKECAABkcnMvZG93bnJldi54bWxQSwUGAAAAAAQABAD5AAAAkgMAAAAA&#10;">
                    <v:stroke endarrow="block"/>
                  </v:line>
                  <v:shape id="Text Box 326" o:spid="_x0000_s1085" type="#_x0000_t202" style="position:absolute;left:5384;top:6974;width:216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tQr8A&#10;AADbAAAADwAAAGRycy9kb3ducmV2LnhtbESPzQrCMBCE74LvEFbwpqmCItUoIgoWvPhz8bY0a1ts&#10;NqWJtvr0RhA8DjPzDbNYtaYUT6pdYVnBaBiBIE6tLjhTcDnvBjMQziNrLC2Tghc5WC27nQXG2jZ8&#10;pOfJZyJA2MWoIPe+iqV0aU4G3dBWxMG72dqgD7LOpK6xCXBTynEUTaXBgsNCjhVtckrvp4dRUDVM&#10;93WRlAk/kiQabS+H63urVL/XrucgPLX+H/6191rBZArfL+EHyO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Q61CvwAAANsAAAAPAAAAAAAAAAAAAAAAAJgCAABkcnMvZG93bnJl&#10;di54bWxQSwUGAAAAAAQABAD1AAAAhAMAAAAA&#10;" fillcolor="gray" stroked="f">
                    <v:textbox>
                      <w:txbxContent>
                        <w:p w14:paraId="46F8E4F0" w14:textId="77777777" w:rsidR="00CE4DB6" w:rsidRPr="00D616FA" w:rsidRDefault="00CE4DB6" w:rsidP="00CE4DB6">
                          <w:pPr>
                            <w:jc w:val="center"/>
                            <w:rPr>
                              <w:b/>
                            </w:rPr>
                          </w:pPr>
                          <w:r w:rsidRPr="00D616FA">
                            <w:rPr>
                              <w:b/>
                            </w:rPr>
                            <w:t>Changements institutionnels</w:t>
                          </w:r>
                        </w:p>
                      </w:txbxContent>
                    </v:textbox>
                  </v:shape>
                  <v:line id="Line 327" o:spid="_x0000_s1086" style="position:absolute;visibility:visible;mso-wrap-style:square" from="4376,7262" to="4376,7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IqPMYAAADbAAAADwAAAGRycy9kb3ducmV2LnhtbESPQWvCQBSE74L/YXlCb7ppi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KiKjzGAAAA2wAAAA8AAAAAAAAA&#10;AAAAAAAAoQIAAGRycy9kb3ducmV2LnhtbFBLBQYAAAAABAAEAPkAAACUAwAAAAA=&#10;"/>
                  <v:line id="Line 328" o:spid="_x0000_s1087" style="position:absolute;visibility:visible;mso-wrap-style:square" from="4376,7406" to="5384,7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W9+sEAAADbAAAADwAAAGRycy9kb3ducmV2LnhtbERPz2vCMBS+C/4P4Qm72dTBptZGEctg&#10;h01Qx87P5q0pa15Kk9Xsv18OA48f3+9yF20nRhp861jBIstBENdOt9wo+Li8zFcgfEDW2DkmBb/k&#10;YbedTkostLvxicZzaEQKYV+gAhNCX0jpa0MWfeZ64sR9ucFiSHBopB7wlsJtJx/z/FlabDk1GOzp&#10;YKj+Pv9YBUtTneRSVm+XYzW2i3V8j5/XtVIPs7jfgAgUw138737VCp7S2P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pb36wQAAANsAAAAPAAAAAAAAAAAAAAAA&#10;AKECAABkcnMvZG93bnJldi54bWxQSwUGAAAAAAQABAD5AAAAjwMAAAAA&#10;">
                    <v:stroke endarrow="block"/>
                  </v:line>
                </v:group>
                <w10:anchorlock/>
              </v:group>
            </w:pict>
          </mc:Fallback>
        </mc:AlternateContent>
      </w:r>
      <w:r w:rsidRPr="00F4246B">
        <w:rPr>
          <w:rFonts w:ascii="Arial" w:hAnsi="Arial" w:cs="Arial"/>
          <w:sz w:val="22"/>
          <w:szCs w:val="22"/>
        </w:rPr>
        <w:t>Le système capitaliste doit donc son dynamisme à l’entrepreneur innovateur et aux banquiers qui financent ces nouveaux projets. C’est la rente de monopole qui stimule les investissements et la croissance et introduisent un nouveau cycle d’accumulation et de croissance jusqu’à ce que la banalisation de l’innovation initiale ne ramène la stagnation associée à la concurrence par les prix et la baisse des profits.  C’est donc la recherche du surprofit (de monopole) qui explique la dynamique du système capitaliste à travers l’innovation et la croissance.</w:t>
      </w:r>
      <w:r w:rsidRPr="00260CED">
        <w:rPr>
          <w:rFonts w:ascii="Arial" w:hAnsi="Arial" w:cs="Arial"/>
          <w:sz w:val="22"/>
        </w:rPr>
        <w:t xml:space="preserve"> </w:t>
      </w:r>
      <w:r w:rsidRPr="00CB7873">
        <w:rPr>
          <w:rFonts w:ascii="Arial" w:hAnsi="Arial" w:cs="Arial"/>
          <w:sz w:val="22"/>
        </w:rPr>
        <w:t xml:space="preserve">La figure </w:t>
      </w:r>
      <w:r>
        <w:rPr>
          <w:rFonts w:ascii="Arial" w:hAnsi="Arial" w:cs="Arial"/>
          <w:sz w:val="22"/>
        </w:rPr>
        <w:t>5</w:t>
      </w:r>
      <w:r w:rsidRPr="00CB7873">
        <w:rPr>
          <w:rFonts w:ascii="Arial" w:hAnsi="Arial" w:cs="Arial"/>
          <w:sz w:val="22"/>
        </w:rPr>
        <w:t xml:space="preserve"> ci-dessous décrit les effets du progrès technique sur l’ensemble de l’économie et met en évidence le processus schumpeterien de destruction créatrice.</w:t>
      </w:r>
    </w:p>
    <w:p w14:paraId="206665F5" w14:textId="77777777" w:rsidR="00CE4DB6" w:rsidRDefault="00CE4DB6" w:rsidP="00CE4DB6">
      <w:pPr>
        <w:jc w:val="both"/>
        <w:rPr>
          <w:rFonts w:ascii="Arial" w:hAnsi="Arial" w:cs="Arial"/>
          <w:sz w:val="22"/>
          <w:szCs w:val="22"/>
        </w:rPr>
      </w:pPr>
    </w:p>
    <w:p w14:paraId="136220BA"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t>Révolutions technologiques → révolution(s) industrielle(s) → cycles économiques longs</w:t>
      </w:r>
    </w:p>
    <w:p w14:paraId="368E464E" w14:textId="77777777" w:rsidR="00CE4DB6" w:rsidRPr="00DD41BA" w:rsidRDefault="00CE4DB6" w:rsidP="00CE4DB6">
      <w:pPr>
        <w:numPr>
          <w:ilvl w:val="0"/>
          <w:numId w:val="2"/>
        </w:numPr>
        <w:jc w:val="both"/>
        <w:rPr>
          <w:rFonts w:ascii="Arial" w:hAnsi="Arial" w:cs="Arial"/>
          <w:sz w:val="22"/>
          <w:szCs w:val="22"/>
        </w:rPr>
      </w:pPr>
      <w:r w:rsidRPr="00DD41BA">
        <w:rPr>
          <w:rFonts w:ascii="Arial" w:hAnsi="Arial" w:cs="Arial"/>
          <w:sz w:val="22"/>
          <w:szCs w:val="22"/>
        </w:rPr>
        <w:t xml:space="preserve">Changements du côté de l’offre </w:t>
      </w:r>
    </w:p>
    <w:p w14:paraId="0B2BE3CC" w14:textId="77777777" w:rsidR="00CE4DB6" w:rsidRPr="00DD41BA" w:rsidRDefault="00CE4DB6" w:rsidP="00CE4DB6">
      <w:pPr>
        <w:numPr>
          <w:ilvl w:val="0"/>
          <w:numId w:val="2"/>
        </w:numPr>
        <w:jc w:val="both"/>
        <w:rPr>
          <w:rFonts w:ascii="Arial" w:hAnsi="Arial" w:cs="Arial"/>
          <w:sz w:val="22"/>
          <w:szCs w:val="22"/>
        </w:rPr>
      </w:pPr>
      <w:r w:rsidRPr="00DD41BA">
        <w:rPr>
          <w:rFonts w:ascii="Arial" w:hAnsi="Arial" w:cs="Arial"/>
          <w:sz w:val="22"/>
          <w:szCs w:val="22"/>
        </w:rPr>
        <w:t>Changements du côté de la demande</w:t>
      </w:r>
    </w:p>
    <w:p w14:paraId="2DCECB33" w14:textId="77777777" w:rsidR="00CE4DB6" w:rsidRPr="00DD41BA" w:rsidRDefault="00CE4DB6" w:rsidP="00CE4DB6">
      <w:pPr>
        <w:numPr>
          <w:ilvl w:val="0"/>
          <w:numId w:val="2"/>
        </w:numPr>
        <w:jc w:val="both"/>
        <w:rPr>
          <w:rFonts w:ascii="Arial" w:hAnsi="Arial" w:cs="Arial"/>
          <w:sz w:val="22"/>
          <w:szCs w:val="22"/>
        </w:rPr>
      </w:pPr>
      <w:r w:rsidRPr="00DD41BA">
        <w:rPr>
          <w:rFonts w:ascii="Arial" w:hAnsi="Arial" w:cs="Arial"/>
          <w:sz w:val="22"/>
          <w:szCs w:val="22"/>
        </w:rPr>
        <w:t>Changements des institutions (système politique, formation, système financier)</w:t>
      </w:r>
    </w:p>
    <w:p w14:paraId="71561EF1" w14:textId="77777777" w:rsidR="00CE4DB6" w:rsidRPr="00DD41BA" w:rsidRDefault="00CE4DB6" w:rsidP="00CE4DB6">
      <w:pPr>
        <w:jc w:val="both"/>
        <w:rPr>
          <w:rFonts w:ascii="Arial" w:hAnsi="Arial" w:cs="Arial"/>
          <w:sz w:val="22"/>
          <w:szCs w:val="22"/>
        </w:rPr>
      </w:pPr>
    </w:p>
    <w:p w14:paraId="0FEE0554"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t>PT → nouveaux biens → nouveaux process → nouvelle organisation du travail → transformation des rapports travail-capital et du partage de la VA → nouvelles demandes sur le marché du travail (qualifications) et sur les marchés des biens interméfdiaires et des biens d’équipements (diffusion des leading sectors aux following sectors)</w:t>
      </w:r>
    </w:p>
    <w:p w14:paraId="394F3212" w14:textId="77777777" w:rsidR="00CE4DB6" w:rsidRDefault="00CE4DB6" w:rsidP="00CE4DB6">
      <w:pPr>
        <w:ind w:left="360"/>
        <w:jc w:val="both"/>
        <w:rPr>
          <w:rFonts w:ascii="Arial" w:hAnsi="Arial" w:cs="Arial"/>
          <w:sz w:val="22"/>
          <w:szCs w:val="22"/>
        </w:rPr>
      </w:pPr>
    </w:p>
    <w:p w14:paraId="2E40AC1D"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t>Distinction entre croissance schumpetérienne (nécessite une modification du système de techniques complémentaires commun aux différents facteurs) et smithienne (ne nécessite qu’un changement dans l’organisation de la production notamment une plus grande division du travail, sans changement de technique).</w:t>
      </w:r>
    </w:p>
    <w:p w14:paraId="0217AAA2" w14:textId="77777777" w:rsidR="00CE4DB6" w:rsidRDefault="00CE4DB6" w:rsidP="00CE4DB6">
      <w:pPr>
        <w:ind w:left="360"/>
        <w:jc w:val="both"/>
        <w:rPr>
          <w:rFonts w:ascii="Arial" w:hAnsi="Arial" w:cs="Arial"/>
          <w:sz w:val="22"/>
          <w:szCs w:val="22"/>
        </w:rPr>
      </w:pPr>
    </w:p>
    <w:p w14:paraId="60F9B103"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lastRenderedPageBreak/>
        <w:t>Les historiens ont repéré des cycles longs de croissance, de pic et de récession qui sont associés à des grappes d’innovations majeures :</w:t>
      </w:r>
    </w:p>
    <w:p w14:paraId="6608A7B7" w14:textId="77777777" w:rsidR="00CE4DB6" w:rsidRPr="00DD41BA" w:rsidRDefault="00CE4DB6" w:rsidP="00CE4DB6">
      <w:pPr>
        <w:jc w:val="both"/>
        <w:rPr>
          <w:rFonts w:ascii="Arial" w:hAnsi="Arial" w:cs="Arial"/>
          <w:sz w:val="22"/>
          <w:szCs w:val="22"/>
        </w:rPr>
      </w:pPr>
    </w:p>
    <w:p w14:paraId="75171056" w14:textId="77777777" w:rsidR="00CE4DB6" w:rsidRPr="00DD41BA" w:rsidRDefault="00CE4DB6" w:rsidP="00CE4DB6">
      <w:pPr>
        <w:rPr>
          <w:rFonts w:ascii="Arial" w:hAnsi="Arial" w:cs="Arial"/>
          <w:sz w:val="22"/>
          <w:szCs w:val="22"/>
        </w:rPr>
      </w:pPr>
      <w:r w:rsidRPr="00DD41BA">
        <w:rPr>
          <w:rFonts w:ascii="Arial" w:hAnsi="Arial" w:cs="Arial"/>
          <w:sz w:val="22"/>
          <w:szCs w:val="22"/>
        </w:rPr>
        <w:t>1875-1840 : Machine à vapeur / Textile / Mécanisation</w:t>
      </w:r>
    </w:p>
    <w:p w14:paraId="10DAB2EC" w14:textId="77777777" w:rsidR="00CE4DB6" w:rsidRPr="00DD41BA" w:rsidRDefault="00CE4DB6" w:rsidP="00CE4DB6">
      <w:pPr>
        <w:rPr>
          <w:rFonts w:ascii="Arial" w:hAnsi="Arial" w:cs="Arial"/>
          <w:sz w:val="22"/>
          <w:szCs w:val="22"/>
        </w:rPr>
      </w:pPr>
      <w:r w:rsidRPr="00DD41BA">
        <w:rPr>
          <w:rFonts w:ascii="Arial" w:hAnsi="Arial" w:cs="Arial"/>
          <w:sz w:val="22"/>
          <w:szCs w:val="22"/>
        </w:rPr>
        <w:t>1820-1890 : Chemin de fer / Sidérurgie / Baisse des coûts de transport et intégration économique</w:t>
      </w:r>
    </w:p>
    <w:p w14:paraId="310ECEFE"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t>1890-1940 : Electricité, science, moteur à explosion / industrie manufacturière, chimie / taylorisme</w:t>
      </w:r>
    </w:p>
    <w:p w14:paraId="2027B626" w14:textId="77777777" w:rsidR="00CE4DB6" w:rsidRPr="00DD41BA" w:rsidRDefault="00CE4DB6" w:rsidP="00CE4DB6">
      <w:pPr>
        <w:jc w:val="both"/>
        <w:rPr>
          <w:rFonts w:ascii="Arial" w:hAnsi="Arial" w:cs="Arial"/>
          <w:sz w:val="22"/>
          <w:szCs w:val="22"/>
        </w:rPr>
      </w:pPr>
      <w:r w:rsidRPr="00DD41BA">
        <w:rPr>
          <w:rFonts w:ascii="Arial" w:hAnsi="Arial" w:cs="Arial"/>
          <w:sz w:val="22"/>
          <w:szCs w:val="22"/>
        </w:rPr>
        <w:t>1950-2000 : Electronique, énergie / Automobile, aéronautique, informatique</w:t>
      </w:r>
    </w:p>
    <w:p w14:paraId="2E839B69" w14:textId="77777777" w:rsidR="00CE4DB6" w:rsidRDefault="00CE4DB6" w:rsidP="00CE4DB6">
      <w:pPr>
        <w:jc w:val="both"/>
        <w:rPr>
          <w:rFonts w:ascii="Arial" w:hAnsi="Arial" w:cs="Arial"/>
          <w:sz w:val="22"/>
          <w:szCs w:val="22"/>
        </w:rPr>
      </w:pPr>
      <w:r w:rsidRPr="00DD41BA">
        <w:rPr>
          <w:rFonts w:ascii="Arial" w:hAnsi="Arial" w:cs="Arial"/>
          <w:sz w:val="22"/>
          <w:szCs w:val="22"/>
        </w:rPr>
        <w:t>2000- …. : NTIC, biote</w:t>
      </w:r>
      <w:r>
        <w:rPr>
          <w:rFonts w:ascii="Arial" w:hAnsi="Arial" w:cs="Arial"/>
          <w:sz w:val="22"/>
          <w:szCs w:val="22"/>
        </w:rPr>
        <w:t>c</w:t>
      </w:r>
      <w:r w:rsidRPr="00DD41BA">
        <w:rPr>
          <w:rFonts w:ascii="Arial" w:hAnsi="Arial" w:cs="Arial"/>
          <w:sz w:val="22"/>
          <w:szCs w:val="22"/>
        </w:rPr>
        <w:t>hnologies</w:t>
      </w:r>
    </w:p>
    <w:p w14:paraId="09EDC930" w14:textId="77777777" w:rsidR="00CE4DB6" w:rsidRDefault="00CE4DB6" w:rsidP="00CE4DB6">
      <w:pPr>
        <w:jc w:val="both"/>
        <w:rPr>
          <w:rFonts w:ascii="Verdana" w:hAnsi="Verdana"/>
          <w:bCs/>
          <w:sz w:val="22"/>
          <w:szCs w:val="22"/>
        </w:rPr>
      </w:pPr>
      <w:r w:rsidRPr="00DD41BA">
        <w:rPr>
          <w:rFonts w:ascii="Arial" w:hAnsi="Arial" w:cs="Arial"/>
          <w:b/>
          <w:bCs/>
          <w:sz w:val="22"/>
          <w:szCs w:val="22"/>
        </w:rPr>
        <w:t xml:space="preserve"> </w:t>
      </w:r>
    </w:p>
    <w:p w14:paraId="7FC36817" w14:textId="15159D8A" w:rsidR="008B0E46" w:rsidRPr="00260CED" w:rsidRDefault="00CE4DB6" w:rsidP="008B0E46">
      <w:pPr>
        <w:spacing w:before="120" w:after="120"/>
        <w:jc w:val="both"/>
        <w:rPr>
          <w:rFonts w:ascii="Verdana" w:hAnsi="Verdana"/>
          <w:b/>
          <w:sz w:val="22"/>
          <w:szCs w:val="22"/>
        </w:rPr>
      </w:pPr>
      <w:r>
        <w:rPr>
          <w:rFonts w:ascii="Verdana" w:hAnsi="Verdana"/>
          <w:b/>
          <w:iCs/>
          <w:sz w:val="22"/>
          <w:szCs w:val="22"/>
        </w:rPr>
        <w:t>2</w:t>
      </w:r>
      <w:r w:rsidR="008B0E46" w:rsidRPr="00260CED">
        <w:rPr>
          <w:rFonts w:ascii="Verdana" w:hAnsi="Verdana"/>
          <w:b/>
          <w:iCs/>
          <w:sz w:val="22"/>
          <w:szCs w:val="22"/>
        </w:rPr>
        <w:t>. Les effets complexes de la croissance et du PT sur l’emploi</w:t>
      </w:r>
    </w:p>
    <w:p w14:paraId="067D3AF0"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La</w:t>
      </w:r>
      <w:r w:rsidRPr="00DD41BA">
        <w:rPr>
          <w:rFonts w:ascii="Arial" w:hAnsi="Arial" w:cs="Arial"/>
          <w:i/>
          <w:iCs/>
          <w:sz w:val="22"/>
          <w:szCs w:val="22"/>
        </w:rPr>
        <w:t xml:space="preserve"> </w:t>
      </w:r>
      <w:r w:rsidRPr="00DD41BA">
        <w:rPr>
          <w:rFonts w:ascii="Arial" w:hAnsi="Arial" w:cs="Arial"/>
          <w:sz w:val="22"/>
          <w:szCs w:val="22"/>
        </w:rPr>
        <w:t>croissance a un impact direct sur l’emploi car produire plus nécessite d’employer plus de travail et de capital. Mais la croissance a également un impact indirect sur l’emploi à travers les changements technologiques et les gains de PGF. Elle affecte alors non seulement le volume de l’emploi mais également sa structure par qualifications.</w:t>
      </w:r>
    </w:p>
    <w:p w14:paraId="0D4AB0FA" w14:textId="77777777" w:rsidR="008B0E46" w:rsidRPr="00DD41BA" w:rsidRDefault="008B0E46" w:rsidP="008B0E46">
      <w:pPr>
        <w:jc w:val="both"/>
        <w:rPr>
          <w:rFonts w:ascii="Arial" w:hAnsi="Arial" w:cs="Arial"/>
          <w:b/>
          <w:bCs/>
          <w:sz w:val="22"/>
          <w:szCs w:val="22"/>
        </w:rPr>
      </w:pPr>
    </w:p>
    <w:p w14:paraId="05742B9C" w14:textId="77777777" w:rsidR="008B0E46" w:rsidRPr="000873EC" w:rsidRDefault="000873EC" w:rsidP="008B0E46">
      <w:pPr>
        <w:spacing w:after="120"/>
        <w:ind w:left="539" w:hanging="539"/>
        <w:jc w:val="both"/>
        <w:rPr>
          <w:rFonts w:ascii="Arial" w:hAnsi="Arial" w:cs="Arial"/>
          <w:b/>
          <w:bCs/>
          <w:iCs/>
          <w:sz w:val="22"/>
          <w:szCs w:val="22"/>
        </w:rPr>
      </w:pPr>
      <w:r>
        <w:rPr>
          <w:rFonts w:ascii="Arial" w:hAnsi="Arial" w:cs="Arial"/>
          <w:b/>
          <w:bCs/>
          <w:iCs/>
          <w:sz w:val="22"/>
          <w:szCs w:val="22"/>
        </w:rPr>
        <w:t xml:space="preserve">(a) </w:t>
      </w:r>
      <w:r w:rsidR="008B0E46" w:rsidRPr="000873EC">
        <w:rPr>
          <w:rFonts w:ascii="Arial" w:hAnsi="Arial" w:cs="Arial"/>
          <w:b/>
          <w:bCs/>
          <w:iCs/>
          <w:sz w:val="22"/>
          <w:szCs w:val="22"/>
        </w:rPr>
        <w:t>La croissance est une condition nécessaire mais non suffisante à la baisse du chômage</w:t>
      </w:r>
    </w:p>
    <w:p w14:paraId="54B9A968" w14:textId="77777777" w:rsidR="008B0E46" w:rsidRDefault="008B0E46" w:rsidP="008B0E46">
      <w:pPr>
        <w:jc w:val="both"/>
        <w:rPr>
          <w:rFonts w:ascii="Arial" w:hAnsi="Arial" w:cs="Arial"/>
          <w:sz w:val="22"/>
          <w:szCs w:val="22"/>
        </w:rPr>
      </w:pPr>
      <w:r w:rsidRPr="00DD41BA">
        <w:rPr>
          <w:rFonts w:ascii="Arial" w:hAnsi="Arial" w:cs="Arial"/>
          <w:sz w:val="22"/>
          <w:szCs w:val="22"/>
        </w:rPr>
        <w:t>La relation entre croissance et emploi est très fortement marquée par les caractéristiques structurelles des économies. Ainsi, des taux de croissance similaires sont associés à des taux de chômage très différents aux USA et en France, ou bien au Japon et en Allemagne (vo</w:t>
      </w:r>
      <w:r w:rsidR="000873EC">
        <w:rPr>
          <w:rFonts w:ascii="Arial" w:hAnsi="Arial" w:cs="Arial"/>
          <w:sz w:val="22"/>
          <w:szCs w:val="22"/>
        </w:rPr>
        <w:t>ir T</w:t>
      </w:r>
      <w:r w:rsidRPr="00DD41BA">
        <w:rPr>
          <w:rFonts w:ascii="Arial" w:hAnsi="Arial" w:cs="Arial"/>
          <w:sz w:val="22"/>
          <w:szCs w:val="22"/>
        </w:rPr>
        <w:t>ableau</w:t>
      </w:r>
      <w:r w:rsidR="000873EC">
        <w:rPr>
          <w:rFonts w:ascii="Arial" w:hAnsi="Arial" w:cs="Arial"/>
          <w:sz w:val="22"/>
          <w:szCs w:val="22"/>
        </w:rPr>
        <w:t xml:space="preserve"> 4</w:t>
      </w:r>
      <w:r w:rsidRPr="00DD41BA">
        <w:rPr>
          <w:rFonts w:ascii="Arial" w:hAnsi="Arial" w:cs="Arial"/>
          <w:sz w:val="22"/>
          <w:szCs w:val="22"/>
        </w:rPr>
        <w:t>)</w:t>
      </w:r>
    </w:p>
    <w:p w14:paraId="71A4DB49" w14:textId="77777777" w:rsidR="000873EC" w:rsidRDefault="000873EC" w:rsidP="008B0E46">
      <w:pPr>
        <w:jc w:val="both"/>
        <w:rPr>
          <w:rFonts w:ascii="Arial" w:hAnsi="Arial" w:cs="Arial"/>
          <w:sz w:val="22"/>
          <w:szCs w:val="22"/>
        </w:rPr>
      </w:pPr>
    </w:p>
    <w:p w14:paraId="5C7D7DEC" w14:textId="77777777" w:rsidR="000873EC" w:rsidRPr="000873EC" w:rsidRDefault="000873EC" w:rsidP="008B0E46">
      <w:pPr>
        <w:jc w:val="both"/>
        <w:rPr>
          <w:rFonts w:ascii="Arial" w:hAnsi="Arial" w:cs="Arial"/>
          <w:b/>
          <w:sz w:val="22"/>
          <w:szCs w:val="22"/>
        </w:rPr>
      </w:pPr>
      <w:r w:rsidRPr="000873EC">
        <w:rPr>
          <w:rFonts w:ascii="Arial" w:hAnsi="Arial" w:cs="Arial"/>
          <w:b/>
          <w:sz w:val="22"/>
          <w:szCs w:val="22"/>
        </w:rPr>
        <w:t>Tableau 4 : Taux de croissance et de chômage de quelques pays de l’OCDE</w:t>
      </w:r>
    </w:p>
    <w:p w14:paraId="5554B10F" w14:textId="77777777" w:rsidR="008B0E46" w:rsidRPr="00DD41BA" w:rsidRDefault="008B0E46" w:rsidP="008B0E46">
      <w:pPr>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1000"/>
        <w:gridCol w:w="1004"/>
        <w:gridCol w:w="988"/>
        <w:gridCol w:w="989"/>
        <w:gridCol w:w="989"/>
        <w:gridCol w:w="989"/>
        <w:gridCol w:w="989"/>
        <w:gridCol w:w="989"/>
      </w:tblGrid>
      <w:tr w:rsidR="008B0E46" w:rsidRPr="00CB5C4D" w14:paraId="19C24896" w14:textId="77777777">
        <w:tc>
          <w:tcPr>
            <w:tcW w:w="1351" w:type="dxa"/>
          </w:tcPr>
          <w:p w14:paraId="2D195CA0" w14:textId="77777777" w:rsidR="008B0E46" w:rsidRPr="00CB5C4D" w:rsidRDefault="008B0E46" w:rsidP="008B0E46">
            <w:pPr>
              <w:spacing w:before="120" w:after="120"/>
              <w:jc w:val="center"/>
              <w:rPr>
                <w:rFonts w:ascii="Arial" w:hAnsi="Arial" w:cs="Arial"/>
                <w:sz w:val="22"/>
                <w:szCs w:val="22"/>
              </w:rPr>
            </w:pPr>
          </w:p>
        </w:tc>
        <w:tc>
          <w:tcPr>
            <w:tcW w:w="2004" w:type="dxa"/>
            <w:gridSpan w:val="2"/>
          </w:tcPr>
          <w:p w14:paraId="4103273D"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1991-1995</w:t>
            </w:r>
          </w:p>
        </w:tc>
        <w:tc>
          <w:tcPr>
            <w:tcW w:w="1977" w:type="dxa"/>
            <w:gridSpan w:val="2"/>
          </w:tcPr>
          <w:p w14:paraId="31052315"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1995-2000</w:t>
            </w:r>
          </w:p>
        </w:tc>
        <w:tc>
          <w:tcPr>
            <w:tcW w:w="1978" w:type="dxa"/>
            <w:gridSpan w:val="2"/>
          </w:tcPr>
          <w:p w14:paraId="2D1FA0E4"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2000-2005</w:t>
            </w:r>
          </w:p>
        </w:tc>
        <w:tc>
          <w:tcPr>
            <w:tcW w:w="1978" w:type="dxa"/>
            <w:gridSpan w:val="2"/>
          </w:tcPr>
          <w:p w14:paraId="316C1083"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2006</w:t>
            </w:r>
          </w:p>
        </w:tc>
      </w:tr>
      <w:tr w:rsidR="008B0E46" w:rsidRPr="00CB5C4D" w14:paraId="3D04B1A1" w14:textId="77777777">
        <w:tc>
          <w:tcPr>
            <w:tcW w:w="1351" w:type="dxa"/>
          </w:tcPr>
          <w:p w14:paraId="4D67518C" w14:textId="77777777" w:rsidR="008B0E46" w:rsidRPr="00CB5C4D" w:rsidRDefault="008B0E46" w:rsidP="008B0E46">
            <w:pPr>
              <w:spacing w:before="120" w:after="120"/>
              <w:jc w:val="center"/>
              <w:rPr>
                <w:rFonts w:ascii="Arial" w:hAnsi="Arial" w:cs="Arial"/>
                <w:sz w:val="22"/>
                <w:szCs w:val="22"/>
              </w:rPr>
            </w:pPr>
          </w:p>
        </w:tc>
        <w:tc>
          <w:tcPr>
            <w:tcW w:w="1000" w:type="dxa"/>
          </w:tcPr>
          <w:p w14:paraId="0FB04466"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Cr.</w:t>
            </w:r>
          </w:p>
        </w:tc>
        <w:tc>
          <w:tcPr>
            <w:tcW w:w="1004" w:type="dxa"/>
          </w:tcPr>
          <w:p w14:paraId="783CBD0A"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Ch.</w:t>
            </w:r>
          </w:p>
        </w:tc>
        <w:tc>
          <w:tcPr>
            <w:tcW w:w="988" w:type="dxa"/>
          </w:tcPr>
          <w:p w14:paraId="4D2D2D7B"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Cr.</w:t>
            </w:r>
          </w:p>
        </w:tc>
        <w:tc>
          <w:tcPr>
            <w:tcW w:w="989" w:type="dxa"/>
          </w:tcPr>
          <w:p w14:paraId="5936A378"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Ch.</w:t>
            </w:r>
          </w:p>
        </w:tc>
        <w:tc>
          <w:tcPr>
            <w:tcW w:w="989" w:type="dxa"/>
          </w:tcPr>
          <w:p w14:paraId="202A1FFE"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Cr.</w:t>
            </w:r>
          </w:p>
        </w:tc>
        <w:tc>
          <w:tcPr>
            <w:tcW w:w="989" w:type="dxa"/>
          </w:tcPr>
          <w:p w14:paraId="0B1A0E3F"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Ch.</w:t>
            </w:r>
          </w:p>
        </w:tc>
        <w:tc>
          <w:tcPr>
            <w:tcW w:w="989" w:type="dxa"/>
          </w:tcPr>
          <w:p w14:paraId="01A1387E"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Cr.</w:t>
            </w:r>
          </w:p>
        </w:tc>
        <w:tc>
          <w:tcPr>
            <w:tcW w:w="989" w:type="dxa"/>
          </w:tcPr>
          <w:p w14:paraId="2100F6B1"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Ch.</w:t>
            </w:r>
          </w:p>
        </w:tc>
      </w:tr>
      <w:tr w:rsidR="008B0E46" w:rsidRPr="00CB5C4D" w14:paraId="558B4B5F" w14:textId="77777777">
        <w:tc>
          <w:tcPr>
            <w:tcW w:w="1351" w:type="dxa"/>
          </w:tcPr>
          <w:p w14:paraId="781F3DD9"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E-U</w:t>
            </w:r>
          </w:p>
        </w:tc>
        <w:tc>
          <w:tcPr>
            <w:tcW w:w="1000" w:type="dxa"/>
          </w:tcPr>
          <w:p w14:paraId="61949395"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2,4</w:t>
            </w:r>
          </w:p>
        </w:tc>
        <w:tc>
          <w:tcPr>
            <w:tcW w:w="1004" w:type="dxa"/>
          </w:tcPr>
          <w:p w14:paraId="1BEEAEBF"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6,6</w:t>
            </w:r>
          </w:p>
        </w:tc>
        <w:tc>
          <w:tcPr>
            <w:tcW w:w="988" w:type="dxa"/>
          </w:tcPr>
          <w:p w14:paraId="2EB29347"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4,1</w:t>
            </w:r>
          </w:p>
        </w:tc>
        <w:tc>
          <w:tcPr>
            <w:tcW w:w="989" w:type="dxa"/>
          </w:tcPr>
          <w:p w14:paraId="13C8E5FC"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4,6</w:t>
            </w:r>
          </w:p>
        </w:tc>
        <w:tc>
          <w:tcPr>
            <w:tcW w:w="989" w:type="dxa"/>
          </w:tcPr>
          <w:p w14:paraId="1D2BAA33"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2,4</w:t>
            </w:r>
          </w:p>
        </w:tc>
        <w:tc>
          <w:tcPr>
            <w:tcW w:w="989" w:type="dxa"/>
          </w:tcPr>
          <w:p w14:paraId="2F2D1C1A"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5,4</w:t>
            </w:r>
          </w:p>
        </w:tc>
        <w:tc>
          <w:tcPr>
            <w:tcW w:w="989" w:type="dxa"/>
          </w:tcPr>
          <w:p w14:paraId="709BE669"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3,4</w:t>
            </w:r>
          </w:p>
        </w:tc>
        <w:tc>
          <w:tcPr>
            <w:tcW w:w="989" w:type="dxa"/>
          </w:tcPr>
          <w:p w14:paraId="27E34999"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4,8</w:t>
            </w:r>
          </w:p>
        </w:tc>
      </w:tr>
      <w:tr w:rsidR="008B0E46" w:rsidRPr="00CB5C4D" w14:paraId="11CAC95C" w14:textId="77777777">
        <w:tc>
          <w:tcPr>
            <w:tcW w:w="1351" w:type="dxa"/>
          </w:tcPr>
          <w:p w14:paraId="5BD75EB7"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R-U</w:t>
            </w:r>
          </w:p>
        </w:tc>
        <w:tc>
          <w:tcPr>
            <w:tcW w:w="1000" w:type="dxa"/>
          </w:tcPr>
          <w:p w14:paraId="70597F33"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1,7</w:t>
            </w:r>
          </w:p>
        </w:tc>
        <w:tc>
          <w:tcPr>
            <w:tcW w:w="1004" w:type="dxa"/>
          </w:tcPr>
          <w:p w14:paraId="3471B6DF"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9,3</w:t>
            </w:r>
          </w:p>
        </w:tc>
        <w:tc>
          <w:tcPr>
            <w:tcW w:w="988" w:type="dxa"/>
          </w:tcPr>
          <w:p w14:paraId="09815FDB"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3,2</w:t>
            </w:r>
          </w:p>
        </w:tc>
        <w:tc>
          <w:tcPr>
            <w:tcW w:w="989" w:type="dxa"/>
          </w:tcPr>
          <w:p w14:paraId="43471C0A"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6,6</w:t>
            </w:r>
          </w:p>
        </w:tc>
        <w:tc>
          <w:tcPr>
            <w:tcW w:w="989" w:type="dxa"/>
          </w:tcPr>
          <w:p w14:paraId="1A0B906A"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2,5</w:t>
            </w:r>
          </w:p>
        </w:tc>
        <w:tc>
          <w:tcPr>
            <w:tcW w:w="989" w:type="dxa"/>
          </w:tcPr>
          <w:p w14:paraId="48AFF1BF"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5,0</w:t>
            </w:r>
          </w:p>
        </w:tc>
        <w:tc>
          <w:tcPr>
            <w:tcW w:w="989" w:type="dxa"/>
          </w:tcPr>
          <w:p w14:paraId="20DA11EB"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2,7</w:t>
            </w:r>
          </w:p>
        </w:tc>
        <w:tc>
          <w:tcPr>
            <w:tcW w:w="989" w:type="dxa"/>
          </w:tcPr>
          <w:p w14:paraId="68EE1C91"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5,3</w:t>
            </w:r>
          </w:p>
        </w:tc>
      </w:tr>
      <w:tr w:rsidR="008B0E46" w:rsidRPr="00CB5C4D" w14:paraId="2BE7FE2E" w14:textId="77777777">
        <w:tc>
          <w:tcPr>
            <w:tcW w:w="1351" w:type="dxa"/>
          </w:tcPr>
          <w:p w14:paraId="2B9B8A5E"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Japon</w:t>
            </w:r>
          </w:p>
        </w:tc>
        <w:tc>
          <w:tcPr>
            <w:tcW w:w="1000" w:type="dxa"/>
          </w:tcPr>
          <w:p w14:paraId="0917F79E"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1,5</w:t>
            </w:r>
          </w:p>
        </w:tc>
        <w:tc>
          <w:tcPr>
            <w:tcW w:w="1004" w:type="dxa"/>
          </w:tcPr>
          <w:p w14:paraId="7783161A"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2,6</w:t>
            </w:r>
          </w:p>
        </w:tc>
        <w:tc>
          <w:tcPr>
            <w:tcW w:w="988" w:type="dxa"/>
          </w:tcPr>
          <w:p w14:paraId="7AF3DC00"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1,3</w:t>
            </w:r>
          </w:p>
        </w:tc>
        <w:tc>
          <w:tcPr>
            <w:tcW w:w="989" w:type="dxa"/>
          </w:tcPr>
          <w:p w14:paraId="784BF63D"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4,1</w:t>
            </w:r>
          </w:p>
        </w:tc>
        <w:tc>
          <w:tcPr>
            <w:tcW w:w="989" w:type="dxa"/>
          </w:tcPr>
          <w:p w14:paraId="15328750"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1,5</w:t>
            </w:r>
          </w:p>
        </w:tc>
        <w:tc>
          <w:tcPr>
            <w:tcW w:w="989" w:type="dxa"/>
          </w:tcPr>
          <w:p w14:paraId="4E7DB2FF"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5,0</w:t>
            </w:r>
          </w:p>
        </w:tc>
        <w:tc>
          <w:tcPr>
            <w:tcW w:w="989" w:type="dxa"/>
          </w:tcPr>
          <w:p w14:paraId="4748BD8C"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2,7</w:t>
            </w:r>
          </w:p>
        </w:tc>
        <w:tc>
          <w:tcPr>
            <w:tcW w:w="989" w:type="dxa"/>
          </w:tcPr>
          <w:p w14:paraId="4C9C86B0"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4,1</w:t>
            </w:r>
          </w:p>
        </w:tc>
      </w:tr>
      <w:tr w:rsidR="008B0E46" w:rsidRPr="00CB5C4D" w14:paraId="27E9F50A" w14:textId="77777777">
        <w:tc>
          <w:tcPr>
            <w:tcW w:w="1351" w:type="dxa"/>
          </w:tcPr>
          <w:p w14:paraId="7E0F084B"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Allemagne</w:t>
            </w:r>
          </w:p>
        </w:tc>
        <w:tc>
          <w:tcPr>
            <w:tcW w:w="1000" w:type="dxa"/>
          </w:tcPr>
          <w:p w14:paraId="21BE206E"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2,2</w:t>
            </w:r>
          </w:p>
        </w:tc>
        <w:tc>
          <w:tcPr>
            <w:tcW w:w="1004" w:type="dxa"/>
          </w:tcPr>
          <w:p w14:paraId="15EEE71E"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7,2</w:t>
            </w:r>
          </w:p>
        </w:tc>
        <w:tc>
          <w:tcPr>
            <w:tcW w:w="988" w:type="dxa"/>
          </w:tcPr>
          <w:p w14:paraId="0925247F"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1,9</w:t>
            </w:r>
          </w:p>
        </w:tc>
        <w:tc>
          <w:tcPr>
            <w:tcW w:w="989" w:type="dxa"/>
          </w:tcPr>
          <w:p w14:paraId="70F5D142"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8,7</w:t>
            </w:r>
          </w:p>
        </w:tc>
        <w:tc>
          <w:tcPr>
            <w:tcW w:w="989" w:type="dxa"/>
          </w:tcPr>
          <w:p w14:paraId="2169C8DD"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0,6</w:t>
            </w:r>
          </w:p>
        </w:tc>
        <w:tc>
          <w:tcPr>
            <w:tcW w:w="989" w:type="dxa"/>
          </w:tcPr>
          <w:p w14:paraId="724B91BC"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8,3</w:t>
            </w:r>
          </w:p>
        </w:tc>
        <w:tc>
          <w:tcPr>
            <w:tcW w:w="989" w:type="dxa"/>
          </w:tcPr>
          <w:p w14:paraId="5822D620"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2,0</w:t>
            </w:r>
          </w:p>
        </w:tc>
        <w:tc>
          <w:tcPr>
            <w:tcW w:w="989" w:type="dxa"/>
          </w:tcPr>
          <w:p w14:paraId="4B7D7B24"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8,0</w:t>
            </w:r>
          </w:p>
        </w:tc>
      </w:tr>
      <w:tr w:rsidR="008B0E46" w:rsidRPr="00CB5C4D" w14:paraId="1501F8CF" w14:textId="77777777">
        <w:tc>
          <w:tcPr>
            <w:tcW w:w="1351" w:type="dxa"/>
          </w:tcPr>
          <w:p w14:paraId="556A35C2" w14:textId="77777777" w:rsidR="008B0E46" w:rsidRPr="00CB5C4D" w:rsidRDefault="008B0E46" w:rsidP="008B0E46">
            <w:pPr>
              <w:spacing w:before="120" w:after="120"/>
              <w:jc w:val="center"/>
              <w:rPr>
                <w:rFonts w:ascii="Arial" w:hAnsi="Arial" w:cs="Arial"/>
                <w:sz w:val="22"/>
                <w:szCs w:val="22"/>
              </w:rPr>
            </w:pPr>
            <w:r w:rsidRPr="00CB5C4D">
              <w:rPr>
                <w:rFonts w:ascii="Arial" w:hAnsi="Arial" w:cs="Arial"/>
                <w:sz w:val="22"/>
                <w:szCs w:val="22"/>
              </w:rPr>
              <w:t>France</w:t>
            </w:r>
          </w:p>
        </w:tc>
        <w:tc>
          <w:tcPr>
            <w:tcW w:w="1000" w:type="dxa"/>
          </w:tcPr>
          <w:p w14:paraId="669D24FF"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1,2</w:t>
            </w:r>
          </w:p>
        </w:tc>
        <w:tc>
          <w:tcPr>
            <w:tcW w:w="1004" w:type="dxa"/>
          </w:tcPr>
          <w:p w14:paraId="35A13C74"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10,7</w:t>
            </w:r>
          </w:p>
        </w:tc>
        <w:tc>
          <w:tcPr>
            <w:tcW w:w="988" w:type="dxa"/>
          </w:tcPr>
          <w:p w14:paraId="0599049D"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2,8</w:t>
            </w:r>
          </w:p>
        </w:tc>
        <w:tc>
          <w:tcPr>
            <w:tcW w:w="989" w:type="dxa"/>
          </w:tcPr>
          <w:p w14:paraId="5A529FAC"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10,8</w:t>
            </w:r>
          </w:p>
        </w:tc>
        <w:tc>
          <w:tcPr>
            <w:tcW w:w="989" w:type="dxa"/>
          </w:tcPr>
          <w:p w14:paraId="2EC482DF"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1,5</w:t>
            </w:r>
          </w:p>
        </w:tc>
        <w:tc>
          <w:tcPr>
            <w:tcW w:w="989" w:type="dxa"/>
          </w:tcPr>
          <w:p w14:paraId="43DD6261"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9,2</w:t>
            </w:r>
          </w:p>
        </w:tc>
        <w:tc>
          <w:tcPr>
            <w:tcW w:w="989" w:type="dxa"/>
          </w:tcPr>
          <w:p w14:paraId="1F13F403" w14:textId="77777777" w:rsidR="008B0E46" w:rsidRPr="00CB5C4D" w:rsidRDefault="008B0E46" w:rsidP="008B0E46">
            <w:pPr>
              <w:spacing w:before="120" w:after="120"/>
              <w:jc w:val="center"/>
              <w:rPr>
                <w:rFonts w:ascii="Arial" w:hAnsi="Arial" w:cs="Arial"/>
                <w:b/>
                <w:bCs/>
                <w:sz w:val="22"/>
                <w:szCs w:val="22"/>
              </w:rPr>
            </w:pPr>
            <w:r w:rsidRPr="00CB5C4D">
              <w:rPr>
                <w:rFonts w:ascii="Arial" w:hAnsi="Arial" w:cs="Arial"/>
                <w:b/>
                <w:bCs/>
                <w:sz w:val="22"/>
                <w:szCs w:val="22"/>
              </w:rPr>
              <w:t>2,4</w:t>
            </w:r>
          </w:p>
        </w:tc>
        <w:tc>
          <w:tcPr>
            <w:tcW w:w="989" w:type="dxa"/>
          </w:tcPr>
          <w:p w14:paraId="5B84E996" w14:textId="77777777" w:rsidR="008B0E46" w:rsidRPr="00CB5C4D" w:rsidRDefault="008B0E46" w:rsidP="008B0E46">
            <w:pPr>
              <w:spacing w:before="120" w:after="120"/>
              <w:jc w:val="center"/>
              <w:rPr>
                <w:rFonts w:ascii="Arial" w:hAnsi="Arial" w:cs="Arial"/>
                <w:i/>
                <w:iCs/>
                <w:sz w:val="22"/>
                <w:szCs w:val="22"/>
              </w:rPr>
            </w:pPr>
            <w:r w:rsidRPr="00CB5C4D">
              <w:rPr>
                <w:rFonts w:ascii="Arial" w:hAnsi="Arial" w:cs="Arial"/>
                <w:i/>
                <w:iCs/>
                <w:sz w:val="22"/>
                <w:szCs w:val="22"/>
              </w:rPr>
              <w:t>9,0</w:t>
            </w:r>
          </w:p>
        </w:tc>
      </w:tr>
    </w:tbl>
    <w:p w14:paraId="07B2E476" w14:textId="77777777" w:rsidR="008B0E46" w:rsidRDefault="008B0E46" w:rsidP="008B0E46">
      <w:pPr>
        <w:jc w:val="both"/>
        <w:rPr>
          <w:rFonts w:ascii="Arial" w:hAnsi="Arial" w:cs="Arial"/>
          <w:sz w:val="22"/>
          <w:szCs w:val="22"/>
        </w:rPr>
      </w:pPr>
    </w:p>
    <w:p w14:paraId="74F32C60" w14:textId="77777777" w:rsidR="008B0E46" w:rsidRPr="000873EC" w:rsidRDefault="000873EC" w:rsidP="000873EC">
      <w:pPr>
        <w:jc w:val="both"/>
        <w:rPr>
          <w:rFonts w:ascii="Arial" w:hAnsi="Arial" w:cs="Arial"/>
          <w:sz w:val="22"/>
          <w:szCs w:val="22"/>
        </w:rPr>
      </w:pPr>
      <w:r>
        <w:rPr>
          <w:rFonts w:ascii="Arial" w:hAnsi="Arial" w:cs="Arial"/>
          <w:sz w:val="22"/>
          <w:szCs w:val="22"/>
        </w:rPr>
        <w:t>Le tableau 4 montre qu’il existe u</w:t>
      </w:r>
      <w:r w:rsidR="008B0E46" w:rsidRPr="00DD41BA">
        <w:rPr>
          <w:rFonts w:ascii="Arial" w:hAnsi="Arial" w:cs="Arial"/>
          <w:sz w:val="22"/>
          <w:szCs w:val="22"/>
        </w:rPr>
        <w:t>ne corrélation positive entre croissance et emploi</w:t>
      </w:r>
      <w:r>
        <w:rPr>
          <w:rFonts w:ascii="Arial" w:hAnsi="Arial" w:cs="Arial"/>
          <w:sz w:val="22"/>
          <w:szCs w:val="22"/>
        </w:rPr>
        <w:t>,</w:t>
      </w:r>
      <w:r w:rsidRPr="000873EC">
        <w:rPr>
          <w:rFonts w:ascii="Arial" w:hAnsi="Arial" w:cs="Arial"/>
          <w:sz w:val="22"/>
          <w:szCs w:val="22"/>
        </w:rPr>
        <w:t xml:space="preserve"> </w:t>
      </w:r>
      <w:r>
        <w:rPr>
          <w:rFonts w:ascii="Arial" w:hAnsi="Arial" w:cs="Arial"/>
          <w:sz w:val="22"/>
          <w:szCs w:val="22"/>
        </w:rPr>
        <w:t>bien que</w:t>
      </w:r>
      <w:r w:rsidRPr="00DD41BA">
        <w:rPr>
          <w:rFonts w:ascii="Arial" w:hAnsi="Arial" w:cs="Arial"/>
          <w:sz w:val="22"/>
          <w:szCs w:val="22"/>
        </w:rPr>
        <w:t xml:space="preserve"> synchronie et ampleur de la croissance et de l’emploi souvent imparfaites (décalages, retards)</w:t>
      </w:r>
      <w:r>
        <w:rPr>
          <w:rFonts w:ascii="Arial" w:hAnsi="Arial" w:cs="Arial"/>
          <w:sz w:val="22"/>
          <w:szCs w:val="22"/>
        </w:rPr>
        <w:t>.</w:t>
      </w:r>
    </w:p>
    <w:p w14:paraId="64011E46" w14:textId="77777777" w:rsidR="00CE4DB6" w:rsidRDefault="008B0E46" w:rsidP="008B0E46">
      <w:pPr>
        <w:numPr>
          <w:ilvl w:val="0"/>
          <w:numId w:val="3"/>
        </w:numPr>
        <w:spacing w:before="120" w:after="120"/>
        <w:ind w:left="714" w:hanging="357"/>
        <w:jc w:val="both"/>
        <w:rPr>
          <w:rFonts w:ascii="Arial" w:hAnsi="Arial" w:cs="Arial"/>
          <w:sz w:val="22"/>
          <w:szCs w:val="22"/>
        </w:rPr>
      </w:pPr>
      <w:r w:rsidRPr="00DD41BA">
        <w:rPr>
          <w:rFonts w:ascii="Arial" w:hAnsi="Arial" w:cs="Arial"/>
          <w:sz w:val="22"/>
          <w:szCs w:val="22"/>
        </w:rPr>
        <w:t xml:space="preserve">Croissance </w:t>
      </w:r>
      <w:r w:rsidRPr="00DD41BA">
        <w:rPr>
          <w:rFonts w:ascii="Arial" w:hAnsi="Arial" w:cs="Arial"/>
          <w:sz w:val="22"/>
          <w:szCs w:val="22"/>
        </w:rPr>
        <w:sym w:font="Symbol" w:char="F0DE"/>
      </w:r>
      <w:r w:rsidRPr="00DD41BA">
        <w:rPr>
          <w:rFonts w:ascii="Arial" w:hAnsi="Arial" w:cs="Arial"/>
          <w:sz w:val="22"/>
          <w:szCs w:val="22"/>
        </w:rPr>
        <w:t xml:space="preserve"> emploi : loi d’OKUN</w:t>
      </w:r>
    </w:p>
    <w:p w14:paraId="65B8A550" w14:textId="6CA1C83D" w:rsidR="00CE4DB6" w:rsidRDefault="00CE4DB6" w:rsidP="00CE4DB6">
      <w:pPr>
        <w:numPr>
          <w:ilvl w:val="1"/>
          <w:numId w:val="3"/>
        </w:numPr>
        <w:spacing w:before="120" w:after="120"/>
        <w:jc w:val="both"/>
        <w:rPr>
          <w:rFonts w:ascii="Arial" w:hAnsi="Arial" w:cs="Arial"/>
          <w:sz w:val="22"/>
          <w:szCs w:val="22"/>
        </w:rPr>
      </w:pPr>
      <w:r>
        <w:rPr>
          <w:rFonts w:ascii="Arial" w:hAnsi="Arial" w:cs="Arial"/>
          <w:sz w:val="22"/>
          <w:szCs w:val="22"/>
        </w:rPr>
        <w:t>Seuil d’Okun = niveau de croissance du PIB à partir duquel l’emploi augmente</w:t>
      </w:r>
    </w:p>
    <w:p w14:paraId="3636BA9C" w14:textId="708124C7" w:rsidR="00CE4DB6" w:rsidRDefault="00CE4DB6" w:rsidP="00CE4DB6">
      <w:pPr>
        <w:numPr>
          <w:ilvl w:val="2"/>
          <w:numId w:val="3"/>
        </w:numPr>
        <w:spacing w:before="120" w:after="120"/>
        <w:jc w:val="both"/>
        <w:rPr>
          <w:rFonts w:ascii="Arial" w:hAnsi="Arial" w:cs="Arial"/>
          <w:sz w:val="22"/>
          <w:szCs w:val="22"/>
        </w:rPr>
      </w:pPr>
      <w:r>
        <w:rPr>
          <w:rFonts w:ascii="Arial" w:hAnsi="Arial" w:cs="Arial"/>
          <w:sz w:val="22"/>
          <w:szCs w:val="22"/>
        </w:rPr>
        <w:t>Passé de 5% à 2% pour la France entre les années 1980 et 2010 contre 2% aux USA</w:t>
      </w:r>
    </w:p>
    <w:p w14:paraId="494B807D" w14:textId="5BF4A5F2" w:rsidR="00CE4DB6" w:rsidRDefault="00CE4DB6" w:rsidP="00CE4DB6">
      <w:pPr>
        <w:numPr>
          <w:ilvl w:val="2"/>
          <w:numId w:val="3"/>
        </w:numPr>
        <w:spacing w:before="120" w:after="120"/>
        <w:jc w:val="both"/>
        <w:rPr>
          <w:rFonts w:ascii="Arial" w:hAnsi="Arial" w:cs="Arial"/>
          <w:sz w:val="22"/>
          <w:szCs w:val="22"/>
        </w:rPr>
      </w:pPr>
      <w:r>
        <w:rPr>
          <w:rFonts w:ascii="Arial" w:hAnsi="Arial" w:cs="Arial"/>
          <w:sz w:val="22"/>
          <w:szCs w:val="22"/>
        </w:rPr>
        <w:t>Réformes importantes</w:t>
      </w:r>
    </w:p>
    <w:p w14:paraId="728E663A" w14:textId="7298F1CC" w:rsidR="00CE4DB6" w:rsidRDefault="00CE4DB6" w:rsidP="00CE4DB6">
      <w:pPr>
        <w:numPr>
          <w:ilvl w:val="2"/>
          <w:numId w:val="3"/>
        </w:numPr>
        <w:spacing w:before="120" w:after="120"/>
        <w:jc w:val="both"/>
        <w:rPr>
          <w:rFonts w:ascii="Arial" w:hAnsi="Arial" w:cs="Arial"/>
          <w:sz w:val="22"/>
          <w:szCs w:val="22"/>
        </w:rPr>
      </w:pPr>
      <w:r>
        <w:rPr>
          <w:rFonts w:ascii="Arial" w:hAnsi="Arial" w:cs="Arial"/>
          <w:sz w:val="22"/>
          <w:szCs w:val="22"/>
        </w:rPr>
        <w:t>Baisse de la productivité</w:t>
      </w:r>
    </w:p>
    <w:p w14:paraId="2FFA50D8" w14:textId="5705AB66" w:rsidR="008B0E46" w:rsidRPr="00DD41BA" w:rsidRDefault="00CE4DB6" w:rsidP="00CE4DB6">
      <w:pPr>
        <w:numPr>
          <w:ilvl w:val="1"/>
          <w:numId w:val="3"/>
        </w:numPr>
        <w:spacing w:before="120" w:after="120"/>
        <w:jc w:val="both"/>
        <w:rPr>
          <w:rFonts w:ascii="Arial" w:hAnsi="Arial" w:cs="Arial"/>
          <w:sz w:val="22"/>
          <w:szCs w:val="22"/>
        </w:rPr>
      </w:pPr>
      <w:r>
        <w:rPr>
          <w:rFonts w:ascii="Arial" w:hAnsi="Arial" w:cs="Arial"/>
          <w:sz w:val="22"/>
          <w:szCs w:val="22"/>
        </w:rPr>
        <w:lastRenderedPageBreak/>
        <w:t>Elasticité du chômage à la croissance dU/dY au-dessus du seuil critique d’Okun est de -0,5 pour les Etats-Unis</w:t>
      </w:r>
      <w:r w:rsidRPr="00DD41BA">
        <w:rPr>
          <w:rFonts w:ascii="Arial" w:hAnsi="Arial" w:cs="Arial"/>
          <w:sz w:val="22"/>
          <w:szCs w:val="22"/>
        </w:rPr>
        <w:t xml:space="preserve"> </w:t>
      </w:r>
      <w:r>
        <w:rPr>
          <w:rFonts w:ascii="Arial" w:hAnsi="Arial" w:cs="Arial"/>
          <w:sz w:val="22"/>
          <w:szCs w:val="22"/>
        </w:rPr>
        <w:t>et -0,4 pour la France (contre -0,2 pour la France pendant les années 1970-80)</w:t>
      </w:r>
    </w:p>
    <w:p w14:paraId="30FC2C96" w14:textId="77777777" w:rsidR="008B0E46" w:rsidRPr="00DD41BA" w:rsidRDefault="008B0E46" w:rsidP="008B0E46">
      <w:pPr>
        <w:numPr>
          <w:ilvl w:val="0"/>
          <w:numId w:val="3"/>
        </w:numPr>
        <w:spacing w:before="120" w:after="120"/>
        <w:ind w:left="714" w:hanging="357"/>
        <w:jc w:val="both"/>
        <w:rPr>
          <w:rFonts w:ascii="Arial" w:hAnsi="Arial" w:cs="Arial"/>
          <w:sz w:val="22"/>
          <w:szCs w:val="22"/>
        </w:rPr>
      </w:pPr>
      <w:r w:rsidRPr="00DD41BA">
        <w:rPr>
          <w:rFonts w:ascii="Arial" w:hAnsi="Arial" w:cs="Arial"/>
          <w:sz w:val="22"/>
          <w:szCs w:val="22"/>
        </w:rPr>
        <w:t xml:space="preserve">Croissance de </w:t>
      </w:r>
      <w:r w:rsidR="000873EC">
        <w:rPr>
          <w:rFonts w:ascii="Arial" w:hAnsi="Arial" w:cs="Arial"/>
          <w:sz w:val="22"/>
          <w:szCs w:val="22"/>
        </w:rPr>
        <w:t>la population active</w:t>
      </w:r>
      <w:r w:rsidRPr="00DD41BA">
        <w:rPr>
          <w:rFonts w:ascii="Arial" w:hAnsi="Arial" w:cs="Arial"/>
          <w:sz w:val="22"/>
          <w:szCs w:val="22"/>
        </w:rPr>
        <w:t xml:space="preserve"> </w:t>
      </w:r>
      <w:r w:rsidR="000873EC">
        <w:rPr>
          <w:rFonts w:ascii="Arial" w:hAnsi="Arial" w:cs="Arial"/>
          <w:sz w:val="22"/>
          <w:szCs w:val="22"/>
        </w:rPr>
        <w:t xml:space="preserve">+ plein emploi des facteurs </w:t>
      </w:r>
      <w:r w:rsidRPr="00DD41BA">
        <w:rPr>
          <w:rFonts w:ascii="Arial" w:hAnsi="Arial" w:cs="Arial"/>
          <w:sz w:val="22"/>
          <w:szCs w:val="22"/>
        </w:rPr>
        <w:sym w:font="Symbol" w:char="F0DE"/>
      </w:r>
      <w:r w:rsidRPr="00DD41BA">
        <w:rPr>
          <w:rFonts w:ascii="Arial" w:hAnsi="Arial" w:cs="Arial"/>
          <w:sz w:val="22"/>
          <w:szCs w:val="22"/>
        </w:rPr>
        <w:t xml:space="preserve"> croissance du PIB : modèle d’offre </w:t>
      </w:r>
    </w:p>
    <w:p w14:paraId="0CEA36D6" w14:textId="55902DEE" w:rsidR="00101D6B" w:rsidRPr="00353B4A" w:rsidRDefault="000873EC" w:rsidP="00353B4A">
      <w:pPr>
        <w:pBdr>
          <w:bottom w:val="single" w:sz="12" w:space="1" w:color="auto"/>
        </w:pBdr>
        <w:spacing w:before="120" w:after="120"/>
        <w:jc w:val="both"/>
        <w:rPr>
          <w:rFonts w:ascii="Arial" w:hAnsi="Arial" w:cs="Arial"/>
          <w:sz w:val="22"/>
          <w:szCs w:val="22"/>
        </w:rPr>
      </w:pPr>
      <w:r>
        <w:rPr>
          <w:rFonts w:ascii="Arial" w:hAnsi="Arial" w:cs="Arial"/>
          <w:sz w:val="22"/>
          <w:szCs w:val="22"/>
        </w:rPr>
        <w:t>D</w:t>
      </w:r>
      <w:r w:rsidR="008B0E46" w:rsidRPr="00DD41BA">
        <w:rPr>
          <w:rFonts w:ascii="Arial" w:hAnsi="Arial" w:cs="Arial"/>
          <w:sz w:val="22"/>
          <w:szCs w:val="22"/>
        </w:rPr>
        <w:t xml:space="preserve">e plus </w:t>
      </w:r>
      <w:r>
        <w:rPr>
          <w:rFonts w:ascii="Arial" w:hAnsi="Arial" w:cs="Arial"/>
          <w:sz w:val="22"/>
          <w:szCs w:val="22"/>
        </w:rPr>
        <w:t>l’</w:t>
      </w:r>
      <w:r w:rsidR="008B0E46" w:rsidRPr="00DD41BA">
        <w:rPr>
          <w:rFonts w:ascii="Arial" w:hAnsi="Arial" w:cs="Arial"/>
          <w:sz w:val="22"/>
          <w:szCs w:val="22"/>
        </w:rPr>
        <w:t xml:space="preserve">effet </w:t>
      </w:r>
      <w:r>
        <w:rPr>
          <w:rFonts w:ascii="Arial" w:hAnsi="Arial" w:cs="Arial"/>
          <w:sz w:val="22"/>
          <w:szCs w:val="22"/>
        </w:rPr>
        <w:t xml:space="preserve">d’une augmentation de l’emploi sur le chômage est </w:t>
      </w:r>
      <w:r w:rsidRPr="00DD41BA">
        <w:rPr>
          <w:rFonts w:ascii="Arial" w:hAnsi="Arial" w:cs="Arial"/>
          <w:sz w:val="22"/>
          <w:szCs w:val="22"/>
        </w:rPr>
        <w:t>incertain</w:t>
      </w:r>
      <w:r w:rsidR="008B0E46" w:rsidRPr="00DD41BA">
        <w:rPr>
          <w:rFonts w:ascii="Arial" w:hAnsi="Arial" w:cs="Arial"/>
          <w:sz w:val="22"/>
          <w:szCs w:val="22"/>
        </w:rPr>
        <w:t>: taux de flexion de l’activité (proportion des emplois nets créés qui sont pourvu par de nouveaux actifs et non par des chômeurs), contenu de la croissance en emploi, élasticité et flexibilité du marché du travail (chômage classique), adéquation de l’offre de qualifications à la demande (chômage structurel), temps et coûts de recherche (chômage frictionnel) …</w:t>
      </w:r>
    </w:p>
    <w:p w14:paraId="10466EAF" w14:textId="77777777" w:rsidR="008B0E46" w:rsidRPr="0061365D" w:rsidRDefault="008B0E46" w:rsidP="003245C2">
      <w:pPr>
        <w:spacing w:before="240" w:after="120"/>
        <w:rPr>
          <w:rFonts w:ascii="Verdana" w:hAnsi="Verdana" w:cs="Arial"/>
          <w:b/>
          <w:sz w:val="20"/>
          <w:szCs w:val="20"/>
        </w:rPr>
      </w:pPr>
      <w:r w:rsidRPr="0061365D">
        <w:rPr>
          <w:rFonts w:ascii="Verdana" w:hAnsi="Verdana"/>
          <w:b/>
          <w:sz w:val="20"/>
          <w:szCs w:val="20"/>
        </w:rPr>
        <w:t>(</w:t>
      </w:r>
      <w:r w:rsidR="000873EC">
        <w:rPr>
          <w:rFonts w:ascii="Verdana" w:hAnsi="Verdana"/>
          <w:b/>
          <w:sz w:val="20"/>
          <w:szCs w:val="20"/>
        </w:rPr>
        <w:t>b</w:t>
      </w:r>
      <w:r>
        <w:rPr>
          <w:rFonts w:ascii="Verdana" w:hAnsi="Verdana"/>
          <w:b/>
          <w:sz w:val="20"/>
          <w:szCs w:val="20"/>
        </w:rPr>
        <w:t>)</w:t>
      </w:r>
      <w:r w:rsidRPr="0061365D">
        <w:rPr>
          <w:rFonts w:ascii="Verdana" w:hAnsi="Verdana"/>
          <w:b/>
          <w:sz w:val="20"/>
          <w:szCs w:val="20"/>
        </w:rPr>
        <w:tab/>
      </w:r>
      <w:r w:rsidR="008314CB">
        <w:rPr>
          <w:rFonts w:ascii="Verdana" w:hAnsi="Verdana"/>
          <w:b/>
          <w:sz w:val="20"/>
          <w:szCs w:val="20"/>
        </w:rPr>
        <w:t xml:space="preserve">Le PT a </w:t>
      </w:r>
      <w:r w:rsidR="00101D6B">
        <w:rPr>
          <w:rFonts w:ascii="Verdana" w:hAnsi="Verdana"/>
          <w:b/>
          <w:sz w:val="20"/>
          <w:szCs w:val="20"/>
        </w:rPr>
        <w:t>de</w:t>
      </w:r>
      <w:r w:rsidR="008314CB">
        <w:rPr>
          <w:rFonts w:ascii="Verdana" w:hAnsi="Verdana"/>
          <w:b/>
          <w:sz w:val="20"/>
          <w:szCs w:val="20"/>
        </w:rPr>
        <w:t xml:space="preserve">s effets </w:t>
      </w:r>
      <w:r w:rsidR="00101D6B">
        <w:rPr>
          <w:rFonts w:ascii="Verdana" w:hAnsi="Verdana"/>
          <w:b/>
          <w:sz w:val="20"/>
          <w:szCs w:val="20"/>
        </w:rPr>
        <w:t xml:space="preserve">positifs </w:t>
      </w:r>
      <w:r w:rsidRPr="0061365D">
        <w:rPr>
          <w:rFonts w:ascii="Verdana" w:hAnsi="Verdana" w:cs="Arial"/>
          <w:b/>
          <w:sz w:val="20"/>
          <w:szCs w:val="20"/>
        </w:rPr>
        <w:t xml:space="preserve">directs </w:t>
      </w:r>
      <w:r w:rsidR="003245C2">
        <w:rPr>
          <w:rFonts w:ascii="Verdana" w:hAnsi="Verdana" w:cs="Arial"/>
          <w:b/>
          <w:sz w:val="20"/>
          <w:szCs w:val="20"/>
        </w:rPr>
        <w:t>(pr</w:t>
      </w:r>
      <w:r w:rsidR="000873EC">
        <w:rPr>
          <w:rFonts w:ascii="Verdana" w:hAnsi="Verdana" w:cs="Arial"/>
          <w:b/>
          <w:sz w:val="20"/>
          <w:szCs w:val="20"/>
        </w:rPr>
        <w:t xml:space="preserve">oductivité) </w:t>
      </w:r>
      <w:r w:rsidRPr="0061365D">
        <w:rPr>
          <w:rFonts w:ascii="Verdana" w:hAnsi="Verdana" w:cs="Arial"/>
          <w:b/>
          <w:sz w:val="20"/>
          <w:szCs w:val="20"/>
        </w:rPr>
        <w:t>et indirects</w:t>
      </w:r>
      <w:r w:rsidR="000873EC">
        <w:rPr>
          <w:rFonts w:ascii="Verdana" w:hAnsi="Verdana" w:cs="Arial"/>
          <w:b/>
          <w:sz w:val="20"/>
          <w:szCs w:val="20"/>
        </w:rPr>
        <w:t xml:space="preserve"> (destruction créatrice) sur l’emploi</w:t>
      </w:r>
    </w:p>
    <w:p w14:paraId="7910F93A"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 xml:space="preserve">Le PT agit sur l’emploi car il génère des gains de productivité mais également parce qu’il suscite un renouvellement des processus de production et d’organisation du travail dans les firmes. </w:t>
      </w:r>
    </w:p>
    <w:p w14:paraId="1B36151E"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Les gains de productivité vont donc agir sur l’emploi :</w:t>
      </w:r>
    </w:p>
    <w:p w14:paraId="04D4DADF" w14:textId="77777777" w:rsidR="008B0E46" w:rsidRPr="00DD41BA" w:rsidRDefault="008B0E46" w:rsidP="008B0E46">
      <w:pPr>
        <w:numPr>
          <w:ilvl w:val="0"/>
          <w:numId w:val="7"/>
        </w:numPr>
        <w:spacing w:before="120"/>
        <w:jc w:val="both"/>
        <w:rPr>
          <w:rFonts w:ascii="Arial" w:hAnsi="Arial" w:cs="Arial"/>
          <w:sz w:val="22"/>
          <w:szCs w:val="22"/>
        </w:rPr>
      </w:pPr>
      <w:r w:rsidRPr="00DD41BA">
        <w:rPr>
          <w:rFonts w:ascii="Arial" w:hAnsi="Arial" w:cs="Arial"/>
          <w:b/>
          <w:bCs/>
          <w:sz w:val="22"/>
          <w:szCs w:val="22"/>
        </w:rPr>
        <w:t>directement</w:t>
      </w:r>
      <w:r w:rsidRPr="00DD41BA">
        <w:rPr>
          <w:rFonts w:ascii="Arial" w:hAnsi="Arial" w:cs="Arial"/>
          <w:sz w:val="22"/>
          <w:szCs w:val="22"/>
        </w:rPr>
        <w:t xml:space="preserve"> en substituant du capital et du travail qualifié à du travail non qualifié </w:t>
      </w:r>
      <w:r w:rsidRPr="00DD41BA">
        <w:rPr>
          <w:rFonts w:ascii="Arial" w:hAnsi="Arial" w:cs="Arial"/>
          <w:sz w:val="22"/>
          <w:szCs w:val="22"/>
        </w:rPr>
        <w:sym w:font="Symbol" w:char="F0DE"/>
      </w:r>
      <w:r w:rsidRPr="00DD41BA">
        <w:rPr>
          <w:rFonts w:ascii="Arial" w:hAnsi="Arial" w:cs="Arial"/>
          <w:sz w:val="22"/>
          <w:szCs w:val="22"/>
        </w:rPr>
        <w:t xml:space="preserve"> </w:t>
      </w:r>
      <w:r w:rsidRPr="00DD41BA">
        <w:rPr>
          <w:rFonts w:ascii="Arial" w:hAnsi="Arial" w:cs="Arial"/>
          <w:b/>
          <w:bCs/>
          <w:sz w:val="22"/>
          <w:szCs w:val="22"/>
        </w:rPr>
        <w:t>destructions d’emploi nettes</w:t>
      </w:r>
      <w:r w:rsidR="000C7471">
        <w:rPr>
          <w:rFonts w:ascii="Arial" w:hAnsi="Arial" w:cs="Arial"/>
          <w:b/>
          <w:bCs/>
          <w:sz w:val="22"/>
          <w:szCs w:val="22"/>
        </w:rPr>
        <w:t xml:space="preserve"> dans les secteurs </w:t>
      </w:r>
    </w:p>
    <w:p w14:paraId="74DD4E9D" w14:textId="77777777" w:rsidR="008B0E46" w:rsidRPr="00DD41BA" w:rsidRDefault="008B0E46" w:rsidP="008B0E46">
      <w:pPr>
        <w:numPr>
          <w:ilvl w:val="0"/>
          <w:numId w:val="7"/>
        </w:numPr>
        <w:spacing w:before="120"/>
        <w:jc w:val="both"/>
        <w:rPr>
          <w:rFonts w:ascii="Arial" w:hAnsi="Arial" w:cs="Arial"/>
          <w:sz w:val="22"/>
          <w:szCs w:val="22"/>
        </w:rPr>
      </w:pPr>
      <w:r w:rsidRPr="00DD41BA">
        <w:rPr>
          <w:rFonts w:ascii="Arial" w:hAnsi="Arial" w:cs="Arial"/>
          <w:b/>
          <w:bCs/>
          <w:sz w:val="22"/>
          <w:szCs w:val="22"/>
        </w:rPr>
        <w:t>indirectement</w:t>
      </w:r>
      <w:r w:rsidRPr="00DD41BA">
        <w:rPr>
          <w:rFonts w:ascii="Arial" w:hAnsi="Arial" w:cs="Arial"/>
          <w:sz w:val="22"/>
          <w:szCs w:val="22"/>
        </w:rPr>
        <w:t xml:space="preserve"> en stimulant les salaires (travail plus productif), les recettes fiscales (impôts et CS), et les profits des entreprises (baisse des coûts), ils génèrent plus de demande de consommation et d’investissement, et donc de production et d’emploi ; de plus, en diminuant les coûts de production, ils améliorent la compétitivité des exportations ce qui stimule la production et l’emploi </w:t>
      </w:r>
      <w:r w:rsidRPr="00DD41BA">
        <w:rPr>
          <w:rFonts w:ascii="Arial" w:hAnsi="Arial" w:cs="Arial"/>
          <w:sz w:val="22"/>
          <w:szCs w:val="22"/>
        </w:rPr>
        <w:sym w:font="Symbol" w:char="F0DE"/>
      </w:r>
      <w:r w:rsidRPr="00DD41BA">
        <w:rPr>
          <w:rFonts w:ascii="Arial" w:hAnsi="Arial" w:cs="Arial"/>
          <w:sz w:val="22"/>
          <w:szCs w:val="22"/>
        </w:rPr>
        <w:t xml:space="preserve"> </w:t>
      </w:r>
      <w:r w:rsidRPr="00DD41BA">
        <w:rPr>
          <w:rFonts w:ascii="Arial" w:hAnsi="Arial" w:cs="Arial"/>
          <w:b/>
          <w:bCs/>
          <w:sz w:val="22"/>
          <w:szCs w:val="22"/>
        </w:rPr>
        <w:t>créations d’emploi nettes</w:t>
      </w:r>
    </w:p>
    <w:p w14:paraId="691DC050"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 xml:space="preserve">Les gains de productivité d’une branche ou d’un secteur vont donc générer </w:t>
      </w:r>
      <w:r w:rsidRPr="00DD41BA">
        <w:rPr>
          <w:rFonts w:ascii="Arial" w:hAnsi="Arial" w:cs="Arial"/>
          <w:b/>
          <w:bCs/>
          <w:sz w:val="22"/>
          <w:szCs w:val="22"/>
        </w:rPr>
        <w:t>des emplois supplémentaires dans la branche</w:t>
      </w:r>
      <w:r w:rsidRPr="00DD41BA">
        <w:rPr>
          <w:rFonts w:ascii="Arial" w:hAnsi="Arial" w:cs="Arial"/>
          <w:sz w:val="22"/>
          <w:szCs w:val="22"/>
        </w:rPr>
        <w:t xml:space="preserve"> </w:t>
      </w:r>
    </w:p>
    <w:p w14:paraId="3567B0D4" w14:textId="77777777" w:rsidR="008B0E46" w:rsidRPr="00DD41BA" w:rsidRDefault="008B0E46" w:rsidP="008B0E46">
      <w:pPr>
        <w:numPr>
          <w:ilvl w:val="0"/>
          <w:numId w:val="10"/>
        </w:numPr>
        <w:spacing w:before="120"/>
        <w:jc w:val="both"/>
        <w:rPr>
          <w:rFonts w:ascii="Arial" w:hAnsi="Arial" w:cs="Arial"/>
          <w:sz w:val="22"/>
          <w:szCs w:val="22"/>
        </w:rPr>
      </w:pPr>
      <w:r w:rsidRPr="00DD41BA">
        <w:rPr>
          <w:rFonts w:ascii="Arial" w:hAnsi="Arial" w:cs="Arial"/>
          <w:sz w:val="22"/>
          <w:szCs w:val="22"/>
        </w:rPr>
        <w:t>via la baisse du prix relatif et donc l’accroissement de la demande</w:t>
      </w:r>
    </w:p>
    <w:p w14:paraId="65F780D7" w14:textId="77777777" w:rsidR="008B0E46" w:rsidRPr="00DD41BA" w:rsidRDefault="008B0E46" w:rsidP="008B0E46">
      <w:pPr>
        <w:spacing w:before="120"/>
        <w:jc w:val="both"/>
        <w:rPr>
          <w:rFonts w:ascii="Arial" w:hAnsi="Arial" w:cs="Arial"/>
          <w:sz w:val="22"/>
          <w:szCs w:val="22"/>
        </w:rPr>
      </w:pPr>
      <w:r w:rsidRPr="00DD41BA">
        <w:rPr>
          <w:rFonts w:ascii="Arial" w:hAnsi="Arial" w:cs="Arial"/>
          <w:b/>
          <w:bCs/>
          <w:sz w:val="22"/>
          <w:szCs w:val="22"/>
        </w:rPr>
        <w:t>et dans les autres branches</w:t>
      </w:r>
      <w:r w:rsidRPr="00DD41BA">
        <w:rPr>
          <w:rFonts w:ascii="Arial" w:hAnsi="Arial" w:cs="Arial"/>
          <w:sz w:val="22"/>
          <w:szCs w:val="22"/>
        </w:rPr>
        <w:t xml:space="preserve"> ou secteurs via :</w:t>
      </w:r>
    </w:p>
    <w:p w14:paraId="6316B16A" w14:textId="77777777" w:rsidR="008B0E46" w:rsidRPr="00DD41BA" w:rsidRDefault="008B0E46" w:rsidP="008B0E46">
      <w:pPr>
        <w:numPr>
          <w:ilvl w:val="0"/>
          <w:numId w:val="9"/>
        </w:numPr>
        <w:spacing w:before="120"/>
        <w:jc w:val="both"/>
        <w:rPr>
          <w:rFonts w:ascii="Arial" w:hAnsi="Arial" w:cs="Arial"/>
          <w:sz w:val="22"/>
          <w:szCs w:val="22"/>
        </w:rPr>
      </w:pPr>
      <w:r w:rsidRPr="00DD41BA">
        <w:rPr>
          <w:rFonts w:ascii="Arial" w:hAnsi="Arial" w:cs="Arial"/>
          <w:sz w:val="22"/>
          <w:szCs w:val="22"/>
        </w:rPr>
        <w:t>les effets d’approvisionnement (amont et aval)</w:t>
      </w:r>
    </w:p>
    <w:p w14:paraId="78A10C44" w14:textId="77777777" w:rsidR="008B0E46" w:rsidRPr="00DD41BA" w:rsidRDefault="008B0E46" w:rsidP="008B0E46">
      <w:pPr>
        <w:numPr>
          <w:ilvl w:val="0"/>
          <w:numId w:val="9"/>
        </w:numPr>
        <w:spacing w:before="120"/>
        <w:jc w:val="both"/>
        <w:rPr>
          <w:rFonts w:ascii="Arial" w:hAnsi="Arial" w:cs="Arial"/>
          <w:sz w:val="22"/>
          <w:szCs w:val="22"/>
        </w:rPr>
      </w:pPr>
      <w:r w:rsidRPr="00DD41BA">
        <w:rPr>
          <w:rFonts w:ascii="Arial" w:hAnsi="Arial" w:cs="Arial"/>
          <w:sz w:val="22"/>
          <w:szCs w:val="22"/>
        </w:rPr>
        <w:t>via des déplacements de la main d’œuvre au sein d’un même secteur (des firmes les moins performantes vers les firmes les plus performantes) et entre secteurs (des secteurs à demande lente aux secteurs à demande dynamique)</w:t>
      </w:r>
    </w:p>
    <w:p w14:paraId="556087F6"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Toutefois, les effets de la productivité sur l’emploi seront d’autant plus importants que :</w:t>
      </w:r>
    </w:p>
    <w:p w14:paraId="734CBA90" w14:textId="77777777" w:rsidR="008B0E46" w:rsidRPr="00DD41BA" w:rsidRDefault="008B0E46" w:rsidP="008B0E46">
      <w:pPr>
        <w:numPr>
          <w:ilvl w:val="0"/>
          <w:numId w:val="8"/>
        </w:numPr>
        <w:spacing w:before="120"/>
        <w:jc w:val="both"/>
        <w:rPr>
          <w:rFonts w:ascii="Arial" w:hAnsi="Arial" w:cs="Arial"/>
          <w:sz w:val="22"/>
          <w:szCs w:val="22"/>
        </w:rPr>
      </w:pPr>
      <w:r w:rsidRPr="00DD41BA">
        <w:rPr>
          <w:rFonts w:ascii="Arial" w:hAnsi="Arial" w:cs="Arial"/>
          <w:sz w:val="22"/>
          <w:szCs w:val="22"/>
        </w:rPr>
        <w:t>les branches concernées investiront dans des capacités nouvelles pour développer leur activité et non dans de la substitution du capital au travail et seront soumises à une demande plus forte</w:t>
      </w:r>
    </w:p>
    <w:p w14:paraId="619E0A1E" w14:textId="77777777" w:rsidR="008B0E46" w:rsidRPr="00DD41BA" w:rsidRDefault="008B0E46" w:rsidP="008B0E46">
      <w:pPr>
        <w:numPr>
          <w:ilvl w:val="0"/>
          <w:numId w:val="8"/>
        </w:numPr>
        <w:spacing w:before="120"/>
        <w:jc w:val="both"/>
        <w:rPr>
          <w:rFonts w:ascii="Arial" w:hAnsi="Arial" w:cs="Arial"/>
          <w:sz w:val="22"/>
          <w:szCs w:val="22"/>
        </w:rPr>
      </w:pPr>
      <w:r w:rsidRPr="00DD41BA">
        <w:rPr>
          <w:rFonts w:ascii="Arial" w:hAnsi="Arial" w:cs="Arial"/>
          <w:sz w:val="22"/>
          <w:szCs w:val="22"/>
        </w:rPr>
        <w:t>ces branches sont caractérisées par de forts contenus en emplois et qu’il y a une adéquation entre la structure des qualifications offerte et demandée.</w:t>
      </w:r>
    </w:p>
    <w:p w14:paraId="06F6F8A5" w14:textId="77777777" w:rsidR="008B0E46" w:rsidRPr="00DD41BA" w:rsidRDefault="008B0E46" w:rsidP="008B0E46">
      <w:pPr>
        <w:ind w:left="180"/>
        <w:jc w:val="both"/>
        <w:rPr>
          <w:rFonts w:ascii="Arial" w:hAnsi="Arial" w:cs="Arial"/>
          <w:sz w:val="22"/>
          <w:szCs w:val="22"/>
        </w:rPr>
      </w:pPr>
    </w:p>
    <w:p w14:paraId="4BAD79F4" w14:textId="77777777" w:rsidR="008B0E46" w:rsidRPr="00DD41BA" w:rsidRDefault="008B0E46" w:rsidP="008B0E46">
      <w:pPr>
        <w:jc w:val="both"/>
        <w:rPr>
          <w:rFonts w:ascii="Arial" w:hAnsi="Arial" w:cs="Arial"/>
          <w:sz w:val="22"/>
          <w:szCs w:val="22"/>
        </w:rPr>
      </w:pPr>
      <w:r w:rsidRPr="00DD41BA">
        <w:rPr>
          <w:rFonts w:ascii="Arial" w:hAnsi="Arial" w:cs="Arial"/>
          <w:sz w:val="22"/>
          <w:szCs w:val="22"/>
        </w:rPr>
        <w:t>De plus, le PT ne peut être converti en emploi et en croissance que si l’économie est assez flexible pour s’adapter aux changements, mais la flexibilité interne aux entreprises ou externe et liée au marché est un facteur d’incertitude qui peut également peser sur la lenteur et le sens des ajustements.</w:t>
      </w:r>
    </w:p>
    <w:p w14:paraId="592C5F54" w14:textId="77777777" w:rsidR="008B0E46" w:rsidRPr="00DD41BA" w:rsidRDefault="008B0E46" w:rsidP="008B0E46">
      <w:pPr>
        <w:spacing w:before="120"/>
        <w:jc w:val="both"/>
        <w:rPr>
          <w:rFonts w:ascii="Arial" w:hAnsi="Arial" w:cs="Arial"/>
          <w:sz w:val="22"/>
          <w:szCs w:val="22"/>
        </w:rPr>
      </w:pPr>
      <w:r w:rsidRPr="00DD41BA">
        <w:rPr>
          <w:rFonts w:ascii="Arial" w:hAnsi="Arial" w:cs="Arial"/>
          <w:b/>
          <w:bCs/>
          <w:sz w:val="22"/>
          <w:szCs w:val="22"/>
        </w:rPr>
        <w:t>Exemple :</w:t>
      </w:r>
      <w:r w:rsidRPr="00DD41BA">
        <w:rPr>
          <w:rFonts w:ascii="Arial" w:hAnsi="Arial" w:cs="Arial"/>
          <w:sz w:val="22"/>
          <w:szCs w:val="22"/>
        </w:rPr>
        <w:t xml:space="preserve"> les NTIC ont permis des gains de productivité des secteurs producteurs de NTIC d’abord, puis des industries et secteurs utilisateur ensuite. Mais ces gains de productivité ont été longs à se matérialiser (près de 20 ans) et à se concrétiser à partir des années 90. NTIC et Paradoxe de Solow : « on voit des ordinateurs partout sauf dans les statistiques »</w:t>
      </w:r>
      <w:r w:rsidR="00F838A6">
        <w:rPr>
          <w:rFonts w:ascii="Arial" w:hAnsi="Arial" w:cs="Arial"/>
          <w:sz w:val="22"/>
          <w:szCs w:val="22"/>
        </w:rPr>
        <w:t xml:space="preserve">. </w:t>
      </w:r>
      <w:r w:rsidR="00F838A6" w:rsidRPr="00DD41BA">
        <w:rPr>
          <w:rFonts w:ascii="Arial" w:hAnsi="Arial" w:cs="Arial"/>
          <w:sz w:val="22"/>
          <w:szCs w:val="22"/>
        </w:rPr>
        <w:t xml:space="preserve">Mais la </w:t>
      </w:r>
      <w:r w:rsidR="00F838A6" w:rsidRPr="00DD41BA">
        <w:rPr>
          <w:rFonts w:ascii="Arial" w:hAnsi="Arial" w:cs="Arial"/>
          <w:sz w:val="22"/>
          <w:szCs w:val="22"/>
        </w:rPr>
        <w:lastRenderedPageBreak/>
        <w:t>productivité et la croissance américaines ont bien augmenté pendant les années 90 comme s’y attendaient les économistes. D’abord dans les secteurs associés directement aux nouvelles technologies à usage multiple (general purpose technology), puis dans l’ensemble des autres secteurs utilisateurs de ces technologies.</w:t>
      </w:r>
    </w:p>
    <w:p w14:paraId="1652039E"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 xml:space="preserve">En fait, les NTIC ont eu à la fois un effet de « cannibalisation » de nombreuses activités traditionnelles (services, commerce...) par l’automatisation par exemple, et de « pollinisation » en modifiant en profondeur les modes de production et d’organisation des entreprises notamment. Ces changements ont conduit à une augmentation des besoins de qualification (le biais technologique) et une intensification du travail dans les entreprises (polyvalence, stress, nouvelles pathologies).  </w:t>
      </w:r>
    </w:p>
    <w:p w14:paraId="115C2811" w14:textId="6F54D826" w:rsidR="005A00FE" w:rsidRPr="00353B4A" w:rsidRDefault="008B0E46" w:rsidP="00353B4A">
      <w:pPr>
        <w:spacing w:before="120" w:after="120"/>
        <w:rPr>
          <w:rFonts w:ascii="Verdana" w:hAnsi="Verdana"/>
          <w:sz w:val="22"/>
          <w:szCs w:val="22"/>
        </w:rPr>
      </w:pPr>
      <w:r>
        <w:rPr>
          <w:rFonts w:ascii="Verdana" w:hAnsi="Verdana"/>
          <w:sz w:val="22"/>
          <w:szCs w:val="22"/>
        </w:rPr>
        <w:t>___________________________________________</w:t>
      </w:r>
    </w:p>
    <w:p w14:paraId="1779CAF3" w14:textId="77777777" w:rsidR="008B0E46" w:rsidRPr="000C7471" w:rsidRDefault="000C7471" w:rsidP="005A00FE">
      <w:pPr>
        <w:spacing w:before="240" w:after="120"/>
        <w:jc w:val="both"/>
        <w:rPr>
          <w:rFonts w:ascii="Verdana" w:hAnsi="Verdana"/>
          <w:b/>
          <w:sz w:val="21"/>
          <w:szCs w:val="20"/>
        </w:rPr>
      </w:pPr>
      <w:r w:rsidRPr="000C7471">
        <w:rPr>
          <w:rFonts w:ascii="Verdana" w:hAnsi="Verdana"/>
          <w:b/>
          <w:sz w:val="21"/>
          <w:szCs w:val="20"/>
        </w:rPr>
        <w:t>c)</w:t>
      </w:r>
      <w:r w:rsidR="005A00FE" w:rsidRPr="000C7471">
        <w:rPr>
          <w:rFonts w:ascii="Verdana" w:hAnsi="Verdana"/>
          <w:b/>
          <w:sz w:val="21"/>
          <w:szCs w:val="20"/>
        </w:rPr>
        <w:t xml:space="preserve"> </w:t>
      </w:r>
      <w:r w:rsidR="000873EC" w:rsidRPr="000C7471">
        <w:rPr>
          <w:rFonts w:ascii="Verdana" w:hAnsi="Verdana"/>
          <w:b/>
          <w:sz w:val="21"/>
          <w:szCs w:val="20"/>
        </w:rPr>
        <w:t>L’effet</w:t>
      </w:r>
      <w:r w:rsidR="00A658C7" w:rsidRPr="000C7471">
        <w:rPr>
          <w:rFonts w:ascii="Verdana" w:hAnsi="Verdana"/>
          <w:b/>
          <w:sz w:val="21"/>
          <w:szCs w:val="20"/>
        </w:rPr>
        <w:t xml:space="preserve"> d</w:t>
      </w:r>
      <w:r w:rsidR="000873EC" w:rsidRPr="000C7471">
        <w:rPr>
          <w:rFonts w:ascii="Verdana" w:hAnsi="Verdana"/>
          <w:b/>
          <w:sz w:val="21"/>
          <w:szCs w:val="20"/>
        </w:rPr>
        <w:t>e la mondialisation sur l’emploi : Destruction créatrice encore</w:t>
      </w:r>
      <w:r w:rsidR="008314CB" w:rsidRPr="000C7471">
        <w:rPr>
          <w:rFonts w:ascii="Verdana" w:hAnsi="Verdana"/>
          <w:b/>
          <w:sz w:val="21"/>
          <w:szCs w:val="20"/>
        </w:rPr>
        <w:t> !!</w:t>
      </w:r>
    </w:p>
    <w:p w14:paraId="366B9DA6" w14:textId="77777777" w:rsidR="008B0E46" w:rsidRPr="00DD41BA" w:rsidRDefault="008B0E46" w:rsidP="008B0E46">
      <w:pPr>
        <w:jc w:val="both"/>
        <w:rPr>
          <w:rFonts w:ascii="Arial" w:hAnsi="Arial" w:cs="Arial"/>
          <w:b/>
          <w:bCs/>
          <w:i/>
          <w:iCs/>
          <w:sz w:val="22"/>
          <w:szCs w:val="22"/>
        </w:rPr>
      </w:pPr>
      <w:r w:rsidRPr="00DD41BA">
        <w:rPr>
          <w:rFonts w:ascii="Arial" w:hAnsi="Arial" w:cs="Arial"/>
          <w:sz w:val="22"/>
          <w:szCs w:val="22"/>
        </w:rPr>
        <w:t>Les effets des dynamiques économiques et technologiques sur l’emploi doivent être appréciés en tenant compte de l’évolution de l’environnement international et des stratégies des firmes.</w:t>
      </w:r>
      <w:r w:rsidR="005A00FE">
        <w:rPr>
          <w:rFonts w:ascii="Arial" w:hAnsi="Arial" w:cs="Arial"/>
          <w:b/>
          <w:bCs/>
          <w:i/>
          <w:iCs/>
          <w:sz w:val="22"/>
          <w:szCs w:val="22"/>
        </w:rPr>
        <w:t xml:space="preserve"> Les effets sur l’emploi </w:t>
      </w:r>
      <w:r w:rsidRPr="00DD41BA">
        <w:rPr>
          <w:rFonts w:ascii="Arial" w:hAnsi="Arial" w:cs="Arial"/>
          <w:b/>
          <w:bCs/>
          <w:i/>
          <w:iCs/>
          <w:sz w:val="22"/>
          <w:szCs w:val="22"/>
        </w:rPr>
        <w:t>de la spécialisation des économies et de la réorganisation internationale des firmes: le renforcement du biais technologique</w:t>
      </w:r>
    </w:p>
    <w:p w14:paraId="598BCD2F" w14:textId="77777777" w:rsidR="008B0E46" w:rsidRPr="00DD41BA" w:rsidRDefault="008B0E46" w:rsidP="008B0E46">
      <w:pPr>
        <w:rPr>
          <w:rFonts w:ascii="Verdana" w:hAnsi="Verdana"/>
          <w:caps/>
          <w:sz w:val="22"/>
          <w:szCs w:val="22"/>
        </w:rPr>
      </w:pPr>
    </w:p>
    <w:p w14:paraId="634B62C8" w14:textId="77777777" w:rsidR="008B0E46" w:rsidRPr="00DD41BA" w:rsidRDefault="008B0E46" w:rsidP="008B0E46">
      <w:pPr>
        <w:rPr>
          <w:rFonts w:ascii="Arial" w:hAnsi="Arial" w:cs="Arial"/>
          <w:b/>
          <w:bCs/>
          <w:i/>
          <w:iCs/>
          <w:sz w:val="22"/>
          <w:szCs w:val="22"/>
        </w:rPr>
      </w:pPr>
      <w:r w:rsidRPr="00DD41BA">
        <w:rPr>
          <w:rFonts w:ascii="Arial" w:hAnsi="Arial" w:cs="Arial"/>
          <w:b/>
          <w:bCs/>
          <w:i/>
          <w:iCs/>
          <w:sz w:val="22"/>
          <w:szCs w:val="22"/>
        </w:rPr>
        <w:t>Les stratégies des firmes dans la mondialisation</w:t>
      </w:r>
    </w:p>
    <w:p w14:paraId="5E198346"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Tout d’abord, la concurrence mondiale et le rattrapage technologique des pays en développement ont toujours érodé certaines des spécialisations des pays du nord : textile, sidérurgie, puis services, matériels de transport (automobile, moto, trains, avion, fusées), impliquant des réajustements structurels importants sur les marchés du travail des pays du nord. Les études statistiques montrent toutefois qu’en France, les secteurs qui connaissent des destructions nettes d’emploi sont ceux dont le contenu technologique est faible. A l’inverse, les secteurs à contenu technologique élevé ont des bilans positifs ou neutres. Ces effets sont dus pour partie aux changements de spécialisation de l’industrie française sous la pression de la concurrence étrangère. Pourtant, l’émergence d’une concurrence de plus en plus forte sur des créneaux de spécialisation traditionnels des pays développés a condui</w:t>
      </w:r>
      <w:r w:rsidR="005A00FE">
        <w:rPr>
          <w:rFonts w:ascii="Arial" w:hAnsi="Arial" w:cs="Arial"/>
          <w:sz w:val="22"/>
          <w:szCs w:val="22"/>
        </w:rPr>
        <w:t>t à des destructions nouvelles </w:t>
      </w:r>
      <w:r w:rsidRPr="00DD41BA">
        <w:rPr>
          <w:rFonts w:ascii="Arial" w:hAnsi="Arial" w:cs="Arial"/>
          <w:sz w:val="22"/>
          <w:szCs w:val="22"/>
        </w:rPr>
        <w:t xml:space="preserve">d’emploi moyennement et fortement qualifiés (recherche, étude et informatique en France depuis 2001). Enfin, les firmes des pays riches procèdent depuis 20 ans à une réorganisation de leur chaine de production sur une base mondiale en décomposant les processus productifs et en localisant dans les pays offrant des avantages comparatifs. Cette nouvelle division internationale du travail conduit donc à des échanges de plus en plus intrabranche ou intrafirme, avec une place centrale pour les composantes. </w:t>
      </w:r>
    </w:p>
    <w:p w14:paraId="13CDEE7F" w14:textId="77777777" w:rsidR="008B0E46" w:rsidRPr="00DD41BA" w:rsidRDefault="008B0E46" w:rsidP="008B0E46">
      <w:pPr>
        <w:spacing w:before="120"/>
        <w:jc w:val="both"/>
        <w:rPr>
          <w:rFonts w:ascii="Arial" w:hAnsi="Arial" w:cs="Arial"/>
          <w:sz w:val="22"/>
          <w:szCs w:val="22"/>
        </w:rPr>
      </w:pPr>
      <w:r w:rsidRPr="00DD41BA">
        <w:rPr>
          <w:rFonts w:ascii="Arial" w:hAnsi="Arial" w:cs="Arial"/>
          <w:sz w:val="22"/>
          <w:szCs w:val="22"/>
        </w:rPr>
        <w:t>Les firmes bâtissent leurs stratégies de plus en plus sur la technologie après avoir longtemps considéré cette dernière comme un actif non stratégique de leur développement. Les firmes oscillent désormais entre le suivisme technologique et l’imitation et l’anticipation et l’innovation. Les stratégies technologiques reposent généralement sur l’innovation qui peut prendre plusieurs formes (produit, process, management). Cette innovation apporte à l’entreprise un avantage concurrentiel fondamental. On peut distinguer plusieurs stratégies d’innovation : stratégies de leadership pour maximiser les rentes ou bien de suiveur pour limiter les coûts, stratégies de spécialisation technologique (pour maintenir ou accroître l’avance) ou de portefeuille de technologies (diversification pour limiter les risques), stratégie d’exploitation propre des innovations ou de vente de licences, de développement exclusif ou d’alliances technologiques. Ce rôle nouveau de la technologie élève le niveau d’exigence des firmes en matière de formation, de qualification et de productivité.</w:t>
      </w:r>
    </w:p>
    <w:p w14:paraId="5E433E59" w14:textId="77777777" w:rsidR="008B0E46" w:rsidRDefault="008B0E46" w:rsidP="008B0E46">
      <w:pPr>
        <w:spacing w:before="120"/>
        <w:jc w:val="both"/>
        <w:rPr>
          <w:rFonts w:ascii="Arial" w:hAnsi="Arial" w:cs="Arial"/>
          <w:sz w:val="22"/>
          <w:szCs w:val="22"/>
        </w:rPr>
      </w:pPr>
      <w:r w:rsidRPr="00DD41BA">
        <w:rPr>
          <w:rFonts w:ascii="Arial" w:hAnsi="Arial" w:cs="Arial"/>
          <w:sz w:val="22"/>
          <w:szCs w:val="22"/>
        </w:rPr>
        <w:t xml:space="preserve">Les firmes se réajustent également au-delà de la seule dimension </w:t>
      </w:r>
      <w:r w:rsidR="00F838A6">
        <w:rPr>
          <w:rFonts w:ascii="Arial" w:hAnsi="Arial" w:cs="Arial"/>
          <w:sz w:val="22"/>
          <w:szCs w:val="22"/>
        </w:rPr>
        <w:t>technologique, notamment via des stratégies de délocalisation</w:t>
      </w:r>
      <w:r w:rsidRPr="00DD41BA">
        <w:rPr>
          <w:rFonts w:ascii="Arial" w:hAnsi="Arial" w:cs="Arial"/>
          <w:sz w:val="22"/>
          <w:szCs w:val="22"/>
        </w:rPr>
        <w:t>, intensification</w:t>
      </w:r>
      <w:r w:rsidR="00F838A6">
        <w:rPr>
          <w:rFonts w:ascii="Arial" w:hAnsi="Arial" w:cs="Arial"/>
          <w:sz w:val="22"/>
          <w:szCs w:val="22"/>
        </w:rPr>
        <w:t xml:space="preserve"> du travail</w:t>
      </w:r>
      <w:r w:rsidRPr="00DD41BA">
        <w:rPr>
          <w:rFonts w:ascii="Arial" w:hAnsi="Arial" w:cs="Arial"/>
          <w:sz w:val="22"/>
          <w:szCs w:val="22"/>
        </w:rPr>
        <w:t>, différenciation</w:t>
      </w:r>
      <w:r w:rsidR="00F838A6">
        <w:rPr>
          <w:rFonts w:ascii="Arial" w:hAnsi="Arial" w:cs="Arial"/>
          <w:sz w:val="22"/>
          <w:szCs w:val="22"/>
        </w:rPr>
        <w:t xml:space="preserve"> des produits</w:t>
      </w:r>
      <w:r w:rsidRPr="00DD41BA">
        <w:rPr>
          <w:rFonts w:ascii="Arial" w:hAnsi="Arial" w:cs="Arial"/>
          <w:sz w:val="22"/>
          <w:szCs w:val="22"/>
        </w:rPr>
        <w:t xml:space="preserve">, </w:t>
      </w:r>
      <w:r w:rsidR="00F838A6">
        <w:rPr>
          <w:rFonts w:ascii="Arial" w:hAnsi="Arial" w:cs="Arial"/>
          <w:sz w:val="22"/>
          <w:szCs w:val="22"/>
        </w:rPr>
        <w:t xml:space="preserve">externalisation des segments éloignés du cœur de métier. Tous </w:t>
      </w:r>
      <w:r w:rsidRPr="00DD41BA">
        <w:rPr>
          <w:rFonts w:ascii="Arial" w:hAnsi="Arial" w:cs="Arial"/>
          <w:sz w:val="22"/>
          <w:szCs w:val="22"/>
        </w:rPr>
        <w:t>ces réajustements élèvent le niveau de qualification de leur demande de travail</w:t>
      </w:r>
      <w:r w:rsidR="00F838A6">
        <w:rPr>
          <w:rFonts w:ascii="Arial" w:hAnsi="Arial" w:cs="Arial"/>
          <w:sz w:val="22"/>
          <w:szCs w:val="22"/>
        </w:rPr>
        <w:t xml:space="preserve"> et</w:t>
      </w:r>
      <w:r w:rsidRPr="00DD41BA">
        <w:rPr>
          <w:rFonts w:ascii="Arial" w:hAnsi="Arial" w:cs="Arial"/>
          <w:sz w:val="22"/>
          <w:szCs w:val="22"/>
        </w:rPr>
        <w:t xml:space="preserve"> détruisent des emplois moins qualifiés autrefois protégés</w:t>
      </w:r>
      <w:r w:rsidR="00F838A6">
        <w:rPr>
          <w:rFonts w:ascii="Arial" w:hAnsi="Arial" w:cs="Arial"/>
          <w:sz w:val="22"/>
          <w:szCs w:val="22"/>
        </w:rPr>
        <w:t>. Ces ajustements</w:t>
      </w:r>
      <w:r w:rsidRPr="00DD41BA">
        <w:rPr>
          <w:rFonts w:ascii="Arial" w:hAnsi="Arial" w:cs="Arial"/>
          <w:sz w:val="22"/>
          <w:szCs w:val="22"/>
        </w:rPr>
        <w:t xml:space="preserve"> génèrent </w:t>
      </w:r>
      <w:r w:rsidR="00F838A6">
        <w:rPr>
          <w:rFonts w:ascii="Arial" w:hAnsi="Arial" w:cs="Arial"/>
          <w:sz w:val="22"/>
          <w:szCs w:val="22"/>
        </w:rPr>
        <w:t xml:space="preserve">des effets agrégés sur le marché du travail : </w:t>
      </w:r>
      <w:r w:rsidRPr="00DD41BA">
        <w:rPr>
          <w:rFonts w:ascii="Arial" w:hAnsi="Arial" w:cs="Arial"/>
          <w:sz w:val="22"/>
          <w:szCs w:val="22"/>
        </w:rPr>
        <w:lastRenderedPageBreak/>
        <w:t xml:space="preserve">soit une augmentation du chômage des travailleurs peu qualifiés, soit leur déplacement des </w:t>
      </w:r>
      <w:r w:rsidRPr="00DD41BA">
        <w:rPr>
          <w:rFonts w:ascii="Arial" w:hAnsi="Arial" w:cs="Arial"/>
          <w:i/>
          <w:iCs/>
          <w:sz w:val="22"/>
          <w:szCs w:val="22"/>
        </w:rPr>
        <w:t>good jobs</w:t>
      </w:r>
      <w:r w:rsidRPr="00DD41BA">
        <w:rPr>
          <w:rFonts w:ascii="Arial" w:hAnsi="Arial" w:cs="Arial"/>
          <w:sz w:val="22"/>
          <w:szCs w:val="22"/>
        </w:rPr>
        <w:t xml:space="preserve"> (industrie) vers les </w:t>
      </w:r>
      <w:r w:rsidRPr="00DD41BA">
        <w:rPr>
          <w:rFonts w:ascii="Arial" w:hAnsi="Arial" w:cs="Arial"/>
          <w:i/>
          <w:iCs/>
          <w:sz w:val="22"/>
          <w:szCs w:val="22"/>
        </w:rPr>
        <w:t xml:space="preserve">bad jobs </w:t>
      </w:r>
      <w:r w:rsidRPr="00DD41BA">
        <w:rPr>
          <w:rFonts w:ascii="Arial" w:hAnsi="Arial" w:cs="Arial"/>
          <w:sz w:val="22"/>
          <w:szCs w:val="22"/>
        </w:rPr>
        <w:t xml:space="preserve">(services). </w:t>
      </w:r>
    </w:p>
    <w:p w14:paraId="1D541E24" w14:textId="24F52118" w:rsidR="005A00FE" w:rsidRPr="00353B4A" w:rsidRDefault="000873EC" w:rsidP="000873EC">
      <w:pPr>
        <w:spacing w:before="120"/>
        <w:jc w:val="both"/>
        <w:rPr>
          <w:rFonts w:ascii="Arial" w:hAnsi="Arial" w:cs="Arial"/>
          <w:sz w:val="22"/>
          <w:szCs w:val="22"/>
        </w:rPr>
      </w:pPr>
      <w:r>
        <w:rPr>
          <w:rFonts w:ascii="Arial" w:hAnsi="Arial" w:cs="Arial"/>
          <w:sz w:val="22"/>
          <w:szCs w:val="22"/>
        </w:rPr>
        <w:t>Le Tableau 5 montre que l’ampleur des changements intra-sectoriels, c'est-à-dire la disparition des entreprises les moins productives et compétitives, et de leurs emplois moins productifs, au profit des entreprises plus compétitives, et de leurs emplois plus productifs mais moins nombreux, domine celle des changements inter-sectoriels.</w:t>
      </w:r>
    </w:p>
    <w:p w14:paraId="3F14FF9A" w14:textId="77777777" w:rsidR="005A00FE" w:rsidRDefault="005A00FE" w:rsidP="000873EC">
      <w:pPr>
        <w:spacing w:before="120"/>
        <w:jc w:val="both"/>
        <w:rPr>
          <w:rFonts w:ascii="Arial" w:hAnsi="Arial" w:cs="Arial"/>
          <w:b/>
          <w:sz w:val="22"/>
          <w:szCs w:val="22"/>
        </w:rPr>
      </w:pPr>
    </w:p>
    <w:p w14:paraId="239E9D73" w14:textId="77777777" w:rsidR="000873EC" w:rsidRPr="000873EC" w:rsidRDefault="000873EC" w:rsidP="000873EC">
      <w:pPr>
        <w:spacing w:before="120"/>
        <w:jc w:val="both"/>
        <w:rPr>
          <w:rFonts w:ascii="Arial" w:hAnsi="Arial" w:cs="Arial"/>
          <w:b/>
          <w:sz w:val="22"/>
          <w:szCs w:val="22"/>
        </w:rPr>
      </w:pPr>
      <w:r w:rsidRPr="000873EC">
        <w:rPr>
          <w:rFonts w:ascii="Arial" w:hAnsi="Arial" w:cs="Arial"/>
          <w:b/>
          <w:sz w:val="22"/>
          <w:szCs w:val="22"/>
        </w:rPr>
        <w:t>Tableau 5 : Changement structurel intra et inter-sectoriel</w:t>
      </w:r>
    </w:p>
    <w:p w14:paraId="170B0AD7" w14:textId="23029102" w:rsidR="000873EC" w:rsidRPr="00DD41BA" w:rsidRDefault="000C7471" w:rsidP="000873EC">
      <w:pPr>
        <w:spacing w:before="120"/>
        <w:jc w:val="both"/>
        <w:rPr>
          <w:rFonts w:ascii="Arial" w:hAnsi="Arial" w:cs="Arial"/>
          <w:sz w:val="22"/>
          <w:szCs w:val="22"/>
        </w:rPr>
      </w:pPr>
      <w:r w:rsidRPr="005D55F1">
        <w:rPr>
          <w:rFonts w:ascii="Arial" w:hAnsi="Arial" w:cs="Arial"/>
          <w:noProof/>
          <w:sz w:val="22"/>
          <w:szCs w:val="22"/>
        </w:rPr>
        <w:drawing>
          <wp:inline distT="0" distB="0" distL="0" distR="0" wp14:anchorId="60C3D0BF" wp14:editId="6631E3F1">
            <wp:extent cx="5975350" cy="1520190"/>
            <wp:effectExtent l="0" t="0" r="0" b="3810"/>
            <wp:docPr id="17" name="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75350" cy="1520190"/>
                    </a:xfrm>
                    <a:prstGeom prst="rect">
                      <a:avLst/>
                    </a:prstGeom>
                    <a:noFill/>
                    <a:ln>
                      <a:noFill/>
                    </a:ln>
                  </pic:spPr>
                </pic:pic>
              </a:graphicData>
            </a:graphic>
          </wp:inline>
        </w:drawing>
      </w:r>
    </w:p>
    <w:p w14:paraId="1DAB8737" w14:textId="77777777" w:rsidR="000873EC" w:rsidRDefault="000873EC" w:rsidP="000873EC">
      <w:pPr>
        <w:rPr>
          <w:rFonts w:ascii="Verdana" w:hAnsi="Verdana"/>
          <w:sz w:val="22"/>
          <w:szCs w:val="22"/>
        </w:rPr>
      </w:pPr>
    </w:p>
    <w:p w14:paraId="586F09CB" w14:textId="77777777" w:rsidR="000873EC" w:rsidRPr="005D55F1" w:rsidRDefault="000873EC" w:rsidP="00F838A6">
      <w:pPr>
        <w:jc w:val="both"/>
        <w:rPr>
          <w:rFonts w:ascii="Arial" w:hAnsi="Arial"/>
          <w:sz w:val="22"/>
          <w:szCs w:val="22"/>
        </w:rPr>
      </w:pPr>
      <w:r>
        <w:rPr>
          <w:rFonts w:ascii="Arial" w:hAnsi="Arial"/>
          <w:sz w:val="22"/>
          <w:szCs w:val="22"/>
        </w:rPr>
        <w:t>On observe partout en Europe et aux Etats-Unis le r</w:t>
      </w:r>
      <w:r w:rsidRPr="005D55F1">
        <w:rPr>
          <w:rFonts w:ascii="Arial" w:hAnsi="Arial"/>
          <w:sz w:val="22"/>
          <w:szCs w:val="22"/>
        </w:rPr>
        <w:t>emplacement des « goo</w:t>
      </w:r>
      <w:r>
        <w:rPr>
          <w:rFonts w:ascii="Arial" w:hAnsi="Arial"/>
          <w:sz w:val="22"/>
          <w:szCs w:val="22"/>
        </w:rPr>
        <w:t>d jobs » par des « bad jobs ». Lorsque les institutions du marché du travail sont très flexibles comme aux EU et en All</w:t>
      </w:r>
      <w:r w:rsidR="00F838A6">
        <w:rPr>
          <w:rFonts w:ascii="Arial" w:hAnsi="Arial"/>
          <w:sz w:val="22"/>
          <w:szCs w:val="22"/>
        </w:rPr>
        <w:t>e</w:t>
      </w:r>
      <w:r>
        <w:rPr>
          <w:rFonts w:ascii="Arial" w:hAnsi="Arial"/>
          <w:sz w:val="22"/>
          <w:szCs w:val="22"/>
        </w:rPr>
        <w:t>magne pendant les années 2000,</w:t>
      </w:r>
      <w:r w:rsidRPr="005D55F1">
        <w:rPr>
          <w:rFonts w:ascii="Arial" w:hAnsi="Arial"/>
          <w:sz w:val="22"/>
          <w:szCs w:val="22"/>
        </w:rPr>
        <w:t xml:space="preserve"> </w:t>
      </w:r>
      <w:r>
        <w:rPr>
          <w:rFonts w:ascii="Arial" w:hAnsi="Arial"/>
          <w:sz w:val="22"/>
          <w:szCs w:val="22"/>
        </w:rPr>
        <w:t>l’</w:t>
      </w:r>
      <w:r w:rsidRPr="005D55F1">
        <w:rPr>
          <w:rFonts w:ascii="Arial" w:hAnsi="Arial"/>
          <w:sz w:val="22"/>
          <w:szCs w:val="22"/>
        </w:rPr>
        <w:t xml:space="preserve">ajustement </w:t>
      </w:r>
      <w:r>
        <w:rPr>
          <w:rFonts w:ascii="Arial" w:hAnsi="Arial"/>
          <w:sz w:val="22"/>
          <w:szCs w:val="22"/>
        </w:rPr>
        <w:t>du marché du travail à la pression concurrentielle se fait par la baisse des salaires. En revanche, lorsque les règles du marché du travail sont plus protectrices pour les salariés,</w:t>
      </w:r>
      <w:r w:rsidRPr="005D55F1">
        <w:rPr>
          <w:rFonts w:ascii="Arial" w:hAnsi="Arial"/>
          <w:sz w:val="22"/>
          <w:szCs w:val="22"/>
        </w:rPr>
        <w:t xml:space="preserve"> </w:t>
      </w:r>
      <w:r>
        <w:rPr>
          <w:rFonts w:ascii="Arial" w:hAnsi="Arial"/>
          <w:sz w:val="22"/>
          <w:szCs w:val="22"/>
        </w:rPr>
        <w:t xml:space="preserve">comme en France, les ajustements se font </w:t>
      </w:r>
      <w:r w:rsidR="00F838A6">
        <w:rPr>
          <w:rFonts w:ascii="Arial" w:hAnsi="Arial"/>
          <w:sz w:val="22"/>
          <w:szCs w:val="22"/>
        </w:rPr>
        <w:t>par les quantités, c’est à dire par du chômage.</w:t>
      </w:r>
    </w:p>
    <w:p w14:paraId="36D78F28" w14:textId="77777777" w:rsidR="008B0E46" w:rsidRPr="00DD41BA" w:rsidRDefault="00F838A6" w:rsidP="008B0E46">
      <w:pPr>
        <w:spacing w:before="120"/>
        <w:jc w:val="both"/>
        <w:rPr>
          <w:rFonts w:ascii="Arial" w:hAnsi="Arial" w:cs="Arial"/>
          <w:sz w:val="22"/>
          <w:szCs w:val="22"/>
        </w:rPr>
      </w:pPr>
      <w:r>
        <w:rPr>
          <w:rFonts w:ascii="Arial" w:hAnsi="Arial" w:cs="Arial"/>
          <w:sz w:val="22"/>
          <w:szCs w:val="22"/>
        </w:rPr>
        <w:t>L</w:t>
      </w:r>
      <w:r w:rsidR="008B0E46" w:rsidRPr="00DD41BA">
        <w:rPr>
          <w:rFonts w:ascii="Arial" w:hAnsi="Arial" w:cs="Arial"/>
          <w:sz w:val="22"/>
          <w:szCs w:val="22"/>
        </w:rPr>
        <w:t xml:space="preserve">e biais technologique est </w:t>
      </w:r>
      <w:r>
        <w:rPr>
          <w:rFonts w:ascii="Arial" w:hAnsi="Arial" w:cs="Arial"/>
          <w:sz w:val="22"/>
          <w:szCs w:val="22"/>
        </w:rPr>
        <w:t xml:space="preserve">donc </w:t>
      </w:r>
      <w:r w:rsidR="008B0E46" w:rsidRPr="00DD41BA">
        <w:rPr>
          <w:rFonts w:ascii="Arial" w:hAnsi="Arial" w:cs="Arial"/>
          <w:sz w:val="22"/>
          <w:szCs w:val="22"/>
        </w:rPr>
        <w:t xml:space="preserve">également alimenté par l’intégration de plus en plus grande des NTIC dans les processus productifs. Ainsi, un tiers des réajustements du marché du travail par les quantités (hausse du chômage) ou les prix (baisse des salaires) sont dus aux échanges mondiaux et à la mobilité des firmes, les deux tiers sont dus au biais technologique associé à l’incorporation du PT dans les entreprises. </w:t>
      </w:r>
    </w:p>
    <w:p w14:paraId="069BC647" w14:textId="77777777" w:rsidR="00260CED" w:rsidRDefault="00260CED" w:rsidP="008B0E46">
      <w:pPr>
        <w:spacing w:before="120"/>
        <w:jc w:val="both"/>
        <w:rPr>
          <w:rFonts w:ascii="Arial" w:hAnsi="Arial" w:cs="Arial"/>
          <w:sz w:val="22"/>
          <w:szCs w:val="22"/>
        </w:rPr>
      </w:pPr>
    </w:p>
    <w:p w14:paraId="211255FB" w14:textId="77777777" w:rsidR="00260CED" w:rsidRPr="00260CED" w:rsidRDefault="000C7471" w:rsidP="00260CED">
      <w:pPr>
        <w:jc w:val="both"/>
        <w:rPr>
          <w:rFonts w:ascii="Verdana" w:hAnsi="Verdana"/>
          <w:b/>
          <w:bCs/>
          <w:sz w:val="22"/>
          <w:szCs w:val="22"/>
        </w:rPr>
      </w:pPr>
      <w:r>
        <w:rPr>
          <w:rFonts w:ascii="Verdana" w:hAnsi="Verdana"/>
          <w:b/>
          <w:bCs/>
          <w:sz w:val="22"/>
          <w:szCs w:val="22"/>
        </w:rPr>
        <w:t>3. face à la destruction créatrice : l</w:t>
      </w:r>
      <w:r w:rsidR="00260CED" w:rsidRPr="00260CED">
        <w:rPr>
          <w:rFonts w:ascii="Verdana" w:hAnsi="Verdana"/>
          <w:b/>
          <w:bCs/>
          <w:sz w:val="22"/>
          <w:szCs w:val="22"/>
        </w:rPr>
        <w:t>es politiques actives d’éducation et de développement technologique</w:t>
      </w:r>
    </w:p>
    <w:p w14:paraId="57793CE6" w14:textId="77777777" w:rsidR="00260CED" w:rsidRPr="00DD41BA" w:rsidRDefault="00260CED" w:rsidP="00260CED">
      <w:pPr>
        <w:jc w:val="both"/>
        <w:rPr>
          <w:rFonts w:ascii="Verdana" w:hAnsi="Verdana"/>
          <w:b/>
          <w:bCs/>
          <w:sz w:val="22"/>
          <w:szCs w:val="22"/>
        </w:rPr>
      </w:pPr>
    </w:p>
    <w:p w14:paraId="61221EAA" w14:textId="77777777" w:rsidR="00260CED" w:rsidRDefault="00260CED" w:rsidP="00260CED">
      <w:pPr>
        <w:spacing w:before="120"/>
        <w:jc w:val="both"/>
        <w:rPr>
          <w:rFonts w:ascii="Arial" w:hAnsi="Arial" w:cs="Arial"/>
          <w:sz w:val="22"/>
          <w:szCs w:val="22"/>
        </w:rPr>
      </w:pPr>
      <w:r w:rsidRPr="00DD41BA">
        <w:rPr>
          <w:rFonts w:ascii="Arial" w:hAnsi="Arial" w:cs="Arial"/>
          <w:sz w:val="22"/>
          <w:szCs w:val="22"/>
        </w:rPr>
        <w:t xml:space="preserve">Ces mutations structurelles ont un coût social pour les individus, les régions qui perdent leurs emplois, coût qui doit être compensé par des aides de reconversion, requalification des individus et des territoires.  </w:t>
      </w:r>
    </w:p>
    <w:p w14:paraId="74FF5B29" w14:textId="77777777" w:rsidR="00260CED" w:rsidRPr="00B46889" w:rsidRDefault="00260CED" w:rsidP="00260CED">
      <w:pPr>
        <w:spacing w:before="120" w:after="120"/>
        <w:jc w:val="both"/>
        <w:rPr>
          <w:rFonts w:ascii="Arial" w:hAnsi="Arial"/>
          <w:sz w:val="22"/>
          <w:szCs w:val="22"/>
        </w:rPr>
      </w:pPr>
      <w:r w:rsidRPr="00B46889">
        <w:rPr>
          <w:rFonts w:ascii="Arial" w:hAnsi="Arial"/>
          <w:sz w:val="22"/>
          <w:szCs w:val="22"/>
        </w:rPr>
        <w:t>L’éducation est un facteur de la croissance qui prend toujours plus d’importance au fur et à mesure que la croissance est de plus en plus intensive en connaissances. De plus, l’éducation est un des facteurs déterminants de la structure des revenus et des inégalités puisque la biais technologique contenu dans le nouveaux modèles productifs augmente la prime à la qualification.</w:t>
      </w:r>
    </w:p>
    <w:p w14:paraId="03593A52" w14:textId="77777777" w:rsidR="00260CED" w:rsidRPr="00DD41BA" w:rsidRDefault="00260CED" w:rsidP="00260CED">
      <w:pPr>
        <w:jc w:val="both"/>
        <w:rPr>
          <w:rFonts w:ascii="Arial" w:hAnsi="Arial" w:cs="Arial"/>
          <w:sz w:val="22"/>
          <w:szCs w:val="22"/>
        </w:rPr>
      </w:pPr>
      <w:r w:rsidRPr="00DD41BA">
        <w:rPr>
          <w:rFonts w:ascii="Arial" w:hAnsi="Arial" w:cs="Arial"/>
          <w:sz w:val="22"/>
          <w:szCs w:val="22"/>
        </w:rPr>
        <w:t>Pour réagir à ces pressions sur les systèmes productifs et les marchés du travail, les pays développés mettent en place des politiques actives dans les domaines suivants afin de créer de nouveaux avantages comparatifs et de s’adapter aux mutations socio-économiques. La connaissance joue un rôle central dans les évolutions économiques actuelles et futures car elle permet des gains de productivité, des montées de gamme et une plus grande flexibilité des qualifications. Remarquez que la plupart de ces politiques agissent sur les déterminants de la croissance endogène : capital humain, R&amp;D et technologie, et politiques publiques structurelles (infrastructures, éducation).</w:t>
      </w:r>
      <w:r w:rsidRPr="00DD41BA">
        <w:rPr>
          <w:rFonts w:ascii="Arial" w:hAnsi="Arial" w:cs="Arial"/>
          <w:sz w:val="22"/>
          <w:szCs w:val="22"/>
        </w:rPr>
        <w:tab/>
        <w:t xml:space="preserve">    </w:t>
      </w:r>
    </w:p>
    <w:p w14:paraId="111F0A2C" w14:textId="77777777" w:rsidR="00260CED" w:rsidRPr="00DD41BA" w:rsidRDefault="00260CED" w:rsidP="00260CED">
      <w:pPr>
        <w:rPr>
          <w:rFonts w:ascii="Arial" w:hAnsi="Arial" w:cs="Arial"/>
          <w:sz w:val="22"/>
          <w:szCs w:val="22"/>
        </w:rPr>
      </w:pPr>
    </w:p>
    <w:p w14:paraId="6ED5FE2B" w14:textId="77777777" w:rsidR="00260CED" w:rsidRPr="00DD41BA" w:rsidRDefault="00260CED" w:rsidP="00260CED">
      <w:pPr>
        <w:spacing w:before="240" w:after="240"/>
        <w:jc w:val="both"/>
        <w:rPr>
          <w:rFonts w:ascii="Arial" w:hAnsi="Arial" w:cs="Arial"/>
          <w:sz w:val="22"/>
          <w:szCs w:val="22"/>
        </w:rPr>
      </w:pPr>
      <w:r w:rsidRPr="00DD41BA">
        <w:rPr>
          <w:rFonts w:ascii="Arial" w:hAnsi="Arial" w:cs="Arial"/>
          <w:sz w:val="22"/>
          <w:szCs w:val="22"/>
        </w:rPr>
        <w:lastRenderedPageBreak/>
        <w:t>La capacité des individus à saisir les opportunités que les évolutions économiques leur offrent dépend très largement de l’éducation et de la formation. Or ce sont sur ces capacités que se fondent l’élévation individuelle des niveaux de bien-être et le développement collectif. Les économistes voient souvent l’éducation comme un investissement en capital humain dont le niveau dépend de la rentabilité attendue de cet investissement. Or, ces investissements ont une rentabilité marginale privée non décroissante et une rentabilité collective supérieure à la somme des rentabilités privées du fait des externalités qu’ils génèrent : gains de productivité, capacités d’innovation et de flexibilité … Ils doivent donc être soutenus par les pouvoirs publics pour inciter les individus à investir plus dans leur capital humain que ce que leurs calculs privés ne les amèneraient à faire.</w:t>
      </w:r>
    </w:p>
    <w:p w14:paraId="22849CB4" w14:textId="77777777" w:rsidR="00260CED" w:rsidRPr="00DD41BA" w:rsidRDefault="00260CED" w:rsidP="00260CED">
      <w:pPr>
        <w:jc w:val="both"/>
        <w:rPr>
          <w:rFonts w:ascii="Arial" w:hAnsi="Arial" w:cs="Arial"/>
          <w:bCs/>
          <w:sz w:val="22"/>
          <w:szCs w:val="22"/>
        </w:rPr>
      </w:pPr>
    </w:p>
    <w:p w14:paraId="547C5A37" w14:textId="77777777" w:rsidR="00260CED" w:rsidRPr="00DD41BA" w:rsidRDefault="00260CED" w:rsidP="00260CED">
      <w:pPr>
        <w:jc w:val="both"/>
        <w:rPr>
          <w:rFonts w:ascii="Arial" w:hAnsi="Arial" w:cs="Arial"/>
          <w:bCs/>
          <w:sz w:val="22"/>
          <w:szCs w:val="22"/>
        </w:rPr>
      </w:pPr>
      <w:r w:rsidRPr="00DD41BA">
        <w:rPr>
          <w:rFonts w:ascii="Arial" w:hAnsi="Arial" w:cs="Arial"/>
          <w:bCs/>
          <w:sz w:val="22"/>
          <w:szCs w:val="22"/>
        </w:rPr>
        <w:t>Les politiques technologiques désignent en règle générale l’action des pouvoirs publics visant à favoriser la création d’externalités positives pour l’ensemble de l’économie. Il s’agit donc de créer un environnement favorable au développement de l’innovation technologique (l’offre) mais également des capacités d’absorption de ces technologies par les entreprises et les individus (la demande). L’Etat choisit généralement d’investir dans les infrastructures et dans l’éducation afin de créer les incitations nécessaires sans interférer forcément sur les mécanismes de marché. Mais les pouvoirs publics des plus grands pays développés interviennent également directement en produisant eux-mêmes de l’innovation (recherche publique comme en France) ou en subventionnant l’innovation technologique par les commandes publiques (militaires ou spatiales comme aux Etats-Unis).</w:t>
      </w:r>
    </w:p>
    <w:p w14:paraId="419DCBFE" w14:textId="77777777" w:rsidR="00260CED" w:rsidRPr="00DD41BA" w:rsidRDefault="00260CED" w:rsidP="00260CED">
      <w:pPr>
        <w:jc w:val="both"/>
        <w:rPr>
          <w:rFonts w:ascii="Arial" w:hAnsi="Arial" w:cs="Arial"/>
          <w:bCs/>
          <w:sz w:val="22"/>
          <w:szCs w:val="22"/>
        </w:rPr>
      </w:pPr>
    </w:p>
    <w:p w14:paraId="5DA7AB35" w14:textId="77777777" w:rsidR="00260CED" w:rsidRPr="00DD41BA" w:rsidRDefault="00260CED" w:rsidP="00260CED">
      <w:pPr>
        <w:jc w:val="both"/>
        <w:rPr>
          <w:rFonts w:ascii="Arial" w:hAnsi="Arial" w:cs="Arial"/>
          <w:bCs/>
          <w:sz w:val="22"/>
          <w:szCs w:val="22"/>
        </w:rPr>
      </w:pPr>
      <w:r w:rsidRPr="00DD41BA">
        <w:rPr>
          <w:rFonts w:ascii="Arial" w:hAnsi="Arial" w:cs="Arial"/>
          <w:bCs/>
          <w:sz w:val="22"/>
          <w:szCs w:val="22"/>
        </w:rPr>
        <w:t>La création de pôle de compétitivité a pour objectifs d’accroître l’efficacité des processus de production et d’innovation en rassemblant des acteurs sur des sites spécialement aménagés et stratégiquement situés. C’est une politique volontariste car elle se traduit généralement par des dépenses d’infrastructures importantes et par des aides publiques aux territoires et aux entreprises.</w:t>
      </w:r>
    </w:p>
    <w:p w14:paraId="04600B97" w14:textId="77777777" w:rsidR="00260CED" w:rsidRPr="00DD41BA" w:rsidRDefault="00260CED" w:rsidP="00260CED">
      <w:pPr>
        <w:jc w:val="both"/>
        <w:rPr>
          <w:rFonts w:ascii="Arial" w:hAnsi="Arial" w:cs="Arial"/>
          <w:bCs/>
          <w:sz w:val="22"/>
          <w:szCs w:val="22"/>
        </w:rPr>
      </w:pPr>
      <w:r w:rsidRPr="00DD41BA">
        <w:rPr>
          <w:rFonts w:ascii="Arial" w:hAnsi="Arial" w:cs="Arial"/>
          <w:bCs/>
          <w:sz w:val="22"/>
          <w:szCs w:val="22"/>
        </w:rPr>
        <w:t>Cette politique trouve son fondement théorique dans plusieurs sources :</w:t>
      </w:r>
    </w:p>
    <w:p w14:paraId="73A95294" w14:textId="77777777" w:rsidR="00260CED" w:rsidRPr="00DD41BA" w:rsidRDefault="00260CED" w:rsidP="00260CED">
      <w:pPr>
        <w:numPr>
          <w:ilvl w:val="0"/>
          <w:numId w:val="13"/>
        </w:numPr>
        <w:jc w:val="both"/>
        <w:rPr>
          <w:rFonts w:ascii="Arial" w:hAnsi="Arial" w:cs="Arial"/>
          <w:sz w:val="22"/>
          <w:szCs w:val="22"/>
        </w:rPr>
      </w:pPr>
      <w:r w:rsidRPr="00DD41BA">
        <w:rPr>
          <w:rFonts w:ascii="Arial" w:hAnsi="Arial" w:cs="Arial"/>
          <w:sz w:val="22"/>
          <w:szCs w:val="22"/>
        </w:rPr>
        <w:t xml:space="preserve">les travaux sur la localisation montrent depuis Marshall que la concentration d’activités proches génère des externalités positives pour les firmes : main d’œuvre formée, liens inter-entreprises, connaissance … </w:t>
      </w:r>
    </w:p>
    <w:p w14:paraId="41D1F6D8" w14:textId="77777777" w:rsidR="00260CED" w:rsidRPr="00DD41BA" w:rsidRDefault="00260CED" w:rsidP="00260CED">
      <w:pPr>
        <w:numPr>
          <w:ilvl w:val="0"/>
          <w:numId w:val="13"/>
        </w:numPr>
        <w:jc w:val="both"/>
        <w:rPr>
          <w:rFonts w:ascii="Arial" w:hAnsi="Arial" w:cs="Arial"/>
          <w:sz w:val="22"/>
          <w:szCs w:val="22"/>
        </w:rPr>
      </w:pPr>
      <w:r w:rsidRPr="00DD41BA">
        <w:rPr>
          <w:rFonts w:ascii="Arial" w:hAnsi="Arial" w:cs="Arial"/>
          <w:sz w:val="22"/>
          <w:szCs w:val="22"/>
        </w:rPr>
        <w:t>la théorie ricardienne des avantages comparatifs justifie que les pays ou les territoires cherchent à spécialiser leurs pôles de compétitivité</w:t>
      </w:r>
    </w:p>
    <w:p w14:paraId="2EF798B5" w14:textId="77777777" w:rsidR="00260CED" w:rsidRPr="00DD41BA" w:rsidRDefault="00260CED" w:rsidP="00260CED">
      <w:pPr>
        <w:numPr>
          <w:ilvl w:val="0"/>
          <w:numId w:val="13"/>
        </w:numPr>
        <w:jc w:val="both"/>
        <w:rPr>
          <w:sz w:val="22"/>
          <w:szCs w:val="22"/>
        </w:rPr>
      </w:pPr>
      <w:r w:rsidRPr="00DD41BA">
        <w:rPr>
          <w:rFonts w:ascii="Arial" w:hAnsi="Arial" w:cs="Arial"/>
          <w:sz w:val="22"/>
          <w:szCs w:val="22"/>
        </w:rPr>
        <w:t>Porter avec la théorie des « competitive clusters » ou ensuite Krugman avec les travaux de la nouvelle économie géographique sur les clusters ont repris et développé cette idée à partir des années quatre-vingt : le rassemblement sur une même zone d’acteurs appartenant à une même branche d’activité produit une masse critique de ressources et de compétences qui procurent à cette zone une position clé dans la compétition internationale</w:t>
      </w:r>
    </w:p>
    <w:p w14:paraId="6BAA223B" w14:textId="77777777" w:rsidR="00260CED" w:rsidRPr="00DD41BA" w:rsidRDefault="00260CED" w:rsidP="00260CED">
      <w:pPr>
        <w:ind w:left="360"/>
        <w:jc w:val="both"/>
        <w:rPr>
          <w:rFonts w:ascii="Arial" w:hAnsi="Arial" w:cs="Arial"/>
          <w:sz w:val="22"/>
          <w:szCs w:val="22"/>
        </w:rPr>
      </w:pPr>
    </w:p>
    <w:p w14:paraId="78F02066" w14:textId="77777777" w:rsidR="00260CED" w:rsidRPr="00DD41BA" w:rsidRDefault="00260CED" w:rsidP="00260CED">
      <w:pPr>
        <w:jc w:val="both"/>
        <w:rPr>
          <w:rFonts w:ascii="Arial" w:hAnsi="Arial" w:cs="Arial"/>
          <w:sz w:val="22"/>
          <w:szCs w:val="22"/>
        </w:rPr>
      </w:pPr>
      <w:r w:rsidRPr="00DD41BA">
        <w:rPr>
          <w:rFonts w:ascii="Arial" w:hAnsi="Arial" w:cs="Arial"/>
          <w:sz w:val="22"/>
          <w:szCs w:val="22"/>
        </w:rPr>
        <w:t>Il existe des pôles à dominante technologique (R&amp;D) ou des pôles à dominante industrielle, mais souvent les deux logiques s’associent. Dans les deux cas, l’objectif du pôle est de susciter et faciliter la coopération et les synergies entre acteurs. Les pôles technologiques associent laboratoires de recherche, entreprises innovantes et fonds en capital. Les pôles plus industriels cherchent à densifier les tissus productifs et commerciaux et à gagner une réputation internationale de savoir-faire : horlogerie en Suisse, districts industriels en Italie …</w:t>
      </w:r>
    </w:p>
    <w:p w14:paraId="2F17E9B5" w14:textId="77777777" w:rsidR="00260CED" w:rsidRPr="00DD41BA" w:rsidRDefault="00260CED" w:rsidP="00260CED">
      <w:pPr>
        <w:jc w:val="both"/>
        <w:rPr>
          <w:rFonts w:ascii="Arial" w:hAnsi="Arial" w:cs="Arial"/>
          <w:sz w:val="22"/>
          <w:szCs w:val="22"/>
        </w:rPr>
      </w:pPr>
    </w:p>
    <w:p w14:paraId="436D99F3" w14:textId="77777777" w:rsidR="00260CED" w:rsidRPr="00DD41BA" w:rsidRDefault="00260CED" w:rsidP="00260CED">
      <w:pPr>
        <w:jc w:val="both"/>
        <w:rPr>
          <w:sz w:val="22"/>
          <w:szCs w:val="22"/>
        </w:rPr>
      </w:pPr>
      <w:r w:rsidRPr="00DD41BA">
        <w:rPr>
          <w:rFonts w:ascii="Arial" w:hAnsi="Arial" w:cs="Arial"/>
          <w:sz w:val="22"/>
          <w:szCs w:val="22"/>
        </w:rPr>
        <w:t>Même si les clusters peuvent se développer de façon naturelle (historique) (Suisse, Silicon Valley), l’impulsion donnée par les politiques publiques est essentiel comme le montre l’exemple français. L’efficacité des pôles de compétitivité créés en France à partir de 2000 est toutefois difficile à évaluer et il existe de nombreux facteurs qui limitent les effets réels par rapport à ce que prédit la théorie : protection et secret, concurrence, financement …</w:t>
      </w:r>
    </w:p>
    <w:p w14:paraId="5EB7C6E8" w14:textId="77777777" w:rsidR="00260CED" w:rsidRPr="00DD41BA" w:rsidRDefault="00260CED" w:rsidP="00260CED">
      <w:pPr>
        <w:spacing w:before="120" w:after="120"/>
        <w:ind w:left="851"/>
        <w:rPr>
          <w:rFonts w:ascii="Verdana" w:hAnsi="Verdana"/>
          <w:i/>
          <w:sz w:val="22"/>
          <w:szCs w:val="22"/>
        </w:rPr>
      </w:pPr>
    </w:p>
    <w:p w14:paraId="4B56A4FF" w14:textId="77777777" w:rsidR="00260CED" w:rsidRDefault="00260CED" w:rsidP="00260CED">
      <w:pPr>
        <w:rPr>
          <w:rFonts w:ascii="Verdana" w:hAnsi="Verdana"/>
          <w:sz w:val="22"/>
          <w:szCs w:val="22"/>
        </w:rPr>
      </w:pPr>
      <w:r>
        <w:rPr>
          <w:rFonts w:ascii="Verdana" w:hAnsi="Verdana"/>
          <w:sz w:val="22"/>
          <w:szCs w:val="22"/>
        </w:rPr>
        <w:lastRenderedPageBreak/>
        <w:br w:type="page"/>
      </w:r>
    </w:p>
    <w:p w14:paraId="5604A7FF" w14:textId="77777777" w:rsidR="00ED71A4" w:rsidRDefault="00ED71A4" w:rsidP="008B0E46">
      <w:pPr>
        <w:spacing w:before="120"/>
        <w:jc w:val="both"/>
        <w:rPr>
          <w:rFonts w:ascii="Arial" w:hAnsi="Arial" w:cs="Arial"/>
          <w:sz w:val="22"/>
          <w:szCs w:val="22"/>
        </w:rPr>
      </w:pPr>
    </w:p>
    <w:p w14:paraId="0BADC7EB" w14:textId="77777777" w:rsidR="00ED71A4" w:rsidRDefault="00ED71A4" w:rsidP="008B0E46">
      <w:pPr>
        <w:spacing w:before="120"/>
        <w:jc w:val="both"/>
        <w:rPr>
          <w:rFonts w:ascii="Arial" w:hAnsi="Arial" w:cs="Arial"/>
          <w:sz w:val="22"/>
          <w:szCs w:val="22"/>
        </w:rPr>
      </w:pPr>
    </w:p>
    <w:p w14:paraId="24DB3387" w14:textId="77777777" w:rsidR="00ED71A4" w:rsidRDefault="00ED71A4" w:rsidP="00ED71A4">
      <w:pPr>
        <w:widowControl w:val="0"/>
        <w:autoSpaceDE w:val="0"/>
        <w:autoSpaceDN w:val="0"/>
        <w:adjustRightInd w:val="0"/>
        <w:spacing w:after="240" w:line="280" w:lineRule="atLeast"/>
        <w:rPr>
          <w:rFonts w:ascii="Times" w:hAnsi="Times" w:cs="Times"/>
        </w:rPr>
      </w:pPr>
    </w:p>
    <w:p w14:paraId="08547B84" w14:textId="77777777" w:rsidR="00ED71A4" w:rsidRDefault="00ED71A4" w:rsidP="008B0E46">
      <w:pPr>
        <w:spacing w:before="120"/>
        <w:jc w:val="both"/>
        <w:rPr>
          <w:rFonts w:ascii="Arial" w:hAnsi="Arial" w:cs="Arial"/>
          <w:sz w:val="22"/>
          <w:szCs w:val="22"/>
        </w:rPr>
      </w:pPr>
    </w:p>
    <w:p w14:paraId="2C1336A5" w14:textId="3223DFF8" w:rsidR="00ED71A4" w:rsidRDefault="000C7471" w:rsidP="008B0E46">
      <w:pPr>
        <w:spacing w:before="120"/>
        <w:jc w:val="both"/>
        <w:rPr>
          <w:rFonts w:ascii="Arial" w:hAnsi="Arial" w:cs="Arial"/>
          <w:sz w:val="22"/>
          <w:szCs w:val="22"/>
        </w:rPr>
      </w:pPr>
      <w:r w:rsidRPr="00ED71A4">
        <w:rPr>
          <w:rFonts w:ascii="Arial" w:hAnsi="Arial" w:cs="Arial"/>
          <w:noProof/>
          <w:sz w:val="22"/>
          <w:szCs w:val="22"/>
        </w:rPr>
        <w:drawing>
          <wp:inline distT="0" distB="0" distL="0" distR="0" wp14:anchorId="532C17D6" wp14:editId="43ABD554">
            <wp:extent cx="3328035" cy="7059930"/>
            <wp:effectExtent l="0" t="0" r="0" b="0"/>
            <wp:docPr id="1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28035" cy="7059930"/>
                    </a:xfrm>
                    <a:prstGeom prst="rect">
                      <a:avLst/>
                    </a:prstGeom>
                    <a:noFill/>
                    <a:ln>
                      <a:noFill/>
                    </a:ln>
                  </pic:spPr>
                </pic:pic>
              </a:graphicData>
            </a:graphic>
          </wp:inline>
        </w:drawing>
      </w:r>
    </w:p>
    <w:p w14:paraId="78241A8D" w14:textId="77777777" w:rsidR="00ED71A4" w:rsidRDefault="00ED71A4" w:rsidP="008B0E46">
      <w:pPr>
        <w:spacing w:before="120"/>
        <w:jc w:val="both"/>
        <w:rPr>
          <w:rFonts w:ascii="Arial" w:hAnsi="Arial" w:cs="Arial"/>
          <w:sz w:val="22"/>
          <w:szCs w:val="22"/>
        </w:rPr>
      </w:pPr>
    </w:p>
    <w:p w14:paraId="1C1B7F6C" w14:textId="77777777" w:rsidR="00ED71A4" w:rsidRDefault="00ED71A4" w:rsidP="008B0E46">
      <w:pPr>
        <w:spacing w:before="120"/>
        <w:jc w:val="both"/>
        <w:rPr>
          <w:rFonts w:ascii="Arial" w:hAnsi="Arial" w:cs="Arial"/>
          <w:sz w:val="22"/>
          <w:szCs w:val="22"/>
        </w:rPr>
      </w:pPr>
    </w:p>
    <w:p w14:paraId="65F410CC" w14:textId="77777777" w:rsidR="00ED71A4" w:rsidRDefault="00ED71A4" w:rsidP="008B0E46">
      <w:pPr>
        <w:spacing w:before="120"/>
        <w:jc w:val="both"/>
        <w:rPr>
          <w:rFonts w:ascii="Arial" w:hAnsi="Arial" w:cs="Arial"/>
          <w:sz w:val="22"/>
          <w:szCs w:val="22"/>
        </w:rPr>
      </w:pPr>
    </w:p>
    <w:p w14:paraId="5F3555A6" w14:textId="77777777" w:rsidR="008B0E46" w:rsidRDefault="008B0E46" w:rsidP="008B0E46">
      <w:pPr>
        <w:rPr>
          <w:rFonts w:ascii="Verdana" w:hAnsi="Verdana"/>
          <w:sz w:val="22"/>
          <w:szCs w:val="22"/>
        </w:rPr>
      </w:pPr>
      <w:r>
        <w:rPr>
          <w:rFonts w:ascii="Verdana" w:hAnsi="Verdana"/>
          <w:sz w:val="22"/>
          <w:szCs w:val="22"/>
        </w:rPr>
        <w:lastRenderedPageBreak/>
        <w:t>_______________________________________________________________</w:t>
      </w:r>
    </w:p>
    <w:p w14:paraId="1C239E98" w14:textId="77777777" w:rsidR="008B0E46" w:rsidRPr="00260CED" w:rsidRDefault="00A658C7" w:rsidP="00260CED">
      <w:pPr>
        <w:spacing w:before="120" w:after="120"/>
        <w:jc w:val="center"/>
        <w:rPr>
          <w:rFonts w:ascii="Verdana" w:hAnsi="Verdana"/>
          <w:b/>
          <w:bCs/>
          <w:sz w:val="28"/>
          <w:szCs w:val="22"/>
        </w:rPr>
      </w:pPr>
      <w:r w:rsidRPr="00260CED">
        <w:rPr>
          <w:rFonts w:ascii="Verdana" w:hAnsi="Verdana"/>
          <w:b/>
          <w:bCs/>
          <w:sz w:val="28"/>
          <w:szCs w:val="22"/>
        </w:rPr>
        <w:t xml:space="preserve">Section </w:t>
      </w:r>
      <w:r w:rsidR="003245C2" w:rsidRPr="00260CED">
        <w:rPr>
          <w:rFonts w:ascii="Verdana" w:hAnsi="Verdana"/>
          <w:b/>
          <w:bCs/>
          <w:sz w:val="28"/>
          <w:szCs w:val="22"/>
        </w:rPr>
        <w:t>3</w:t>
      </w:r>
      <w:r w:rsidRPr="00260CED">
        <w:rPr>
          <w:rFonts w:ascii="Verdana" w:hAnsi="Verdana"/>
          <w:b/>
          <w:bCs/>
          <w:sz w:val="28"/>
          <w:szCs w:val="22"/>
        </w:rPr>
        <w:t> :</w:t>
      </w:r>
      <w:r w:rsidR="00260CED">
        <w:rPr>
          <w:rFonts w:ascii="Verdana" w:hAnsi="Verdana"/>
          <w:b/>
          <w:bCs/>
          <w:sz w:val="28"/>
          <w:szCs w:val="22"/>
        </w:rPr>
        <w:t xml:space="preserve"> Globalisation de la c</w:t>
      </w:r>
      <w:r w:rsidR="005A00FE" w:rsidRPr="00260CED">
        <w:rPr>
          <w:rFonts w:ascii="Verdana" w:hAnsi="Verdana"/>
          <w:b/>
          <w:bCs/>
          <w:sz w:val="28"/>
          <w:szCs w:val="22"/>
        </w:rPr>
        <w:t>roissance, transformation</w:t>
      </w:r>
      <w:r w:rsidR="00260CED">
        <w:rPr>
          <w:rFonts w:ascii="Verdana" w:hAnsi="Verdana"/>
          <w:b/>
          <w:bCs/>
          <w:sz w:val="28"/>
          <w:szCs w:val="22"/>
        </w:rPr>
        <w:t>s</w:t>
      </w:r>
      <w:r w:rsidR="005A00FE" w:rsidRPr="00260CED">
        <w:rPr>
          <w:rFonts w:ascii="Verdana" w:hAnsi="Verdana"/>
          <w:b/>
          <w:bCs/>
          <w:sz w:val="28"/>
          <w:szCs w:val="22"/>
        </w:rPr>
        <w:t xml:space="preserve"> structurelle</w:t>
      </w:r>
      <w:r w:rsidR="00260CED">
        <w:rPr>
          <w:rFonts w:ascii="Verdana" w:hAnsi="Verdana"/>
          <w:b/>
          <w:bCs/>
          <w:sz w:val="28"/>
          <w:szCs w:val="22"/>
        </w:rPr>
        <w:t>s</w:t>
      </w:r>
      <w:r w:rsidR="005A00FE" w:rsidRPr="00260CED">
        <w:rPr>
          <w:rFonts w:ascii="Verdana" w:hAnsi="Verdana"/>
          <w:b/>
          <w:bCs/>
          <w:sz w:val="28"/>
          <w:szCs w:val="22"/>
        </w:rPr>
        <w:t xml:space="preserve"> et </w:t>
      </w:r>
      <w:r w:rsidR="008B0E46" w:rsidRPr="00260CED">
        <w:rPr>
          <w:rFonts w:ascii="Verdana" w:hAnsi="Verdana"/>
          <w:b/>
          <w:bCs/>
          <w:sz w:val="28"/>
          <w:szCs w:val="22"/>
        </w:rPr>
        <w:t>inégalit</w:t>
      </w:r>
      <w:r w:rsidR="005A00FE" w:rsidRPr="00260CED">
        <w:rPr>
          <w:rFonts w:ascii="Verdana" w:hAnsi="Verdana"/>
          <w:b/>
          <w:bCs/>
          <w:sz w:val="28"/>
          <w:szCs w:val="22"/>
        </w:rPr>
        <w:t>és</w:t>
      </w:r>
    </w:p>
    <w:p w14:paraId="1D87E62B" w14:textId="77777777" w:rsidR="005A00FE" w:rsidRPr="00DD41BA" w:rsidRDefault="005A00FE" w:rsidP="005A00FE">
      <w:pPr>
        <w:jc w:val="center"/>
        <w:rPr>
          <w:rFonts w:ascii="Verdana" w:hAnsi="Verdana"/>
          <w:b/>
          <w:bCs/>
          <w:sz w:val="22"/>
          <w:szCs w:val="22"/>
        </w:rPr>
      </w:pPr>
    </w:p>
    <w:p w14:paraId="6CAFE9C2" w14:textId="1E8E9BEC" w:rsidR="008B0E46" w:rsidRPr="00353B4A" w:rsidRDefault="005A00FE" w:rsidP="00353B4A">
      <w:pPr>
        <w:numPr>
          <w:ilvl w:val="0"/>
          <w:numId w:val="36"/>
        </w:numPr>
        <w:ind w:left="284" w:hanging="284"/>
        <w:jc w:val="both"/>
        <w:rPr>
          <w:rFonts w:ascii="Arial" w:hAnsi="Arial" w:cs="Arial"/>
          <w:bCs/>
          <w:sz w:val="22"/>
          <w:szCs w:val="22"/>
        </w:rPr>
      </w:pPr>
      <w:r w:rsidRPr="00DD41BA">
        <w:rPr>
          <w:rFonts w:ascii="Verdana" w:hAnsi="Verdana"/>
          <w:b/>
          <w:bCs/>
          <w:sz w:val="22"/>
          <w:szCs w:val="22"/>
        </w:rPr>
        <w:t xml:space="preserve"> </w:t>
      </w:r>
      <w:r w:rsidRPr="00353B4A">
        <w:rPr>
          <w:rFonts w:ascii="Verdana" w:hAnsi="Verdana"/>
          <w:b/>
          <w:bCs/>
          <w:szCs w:val="20"/>
        </w:rPr>
        <w:t>Dynamique du capitalisme globalisé</w:t>
      </w:r>
      <w:r w:rsidR="008B0E46" w:rsidRPr="00353B4A">
        <w:rPr>
          <w:rFonts w:ascii="Verdana" w:hAnsi="Verdana"/>
          <w:b/>
          <w:bCs/>
          <w:szCs w:val="20"/>
        </w:rPr>
        <w:t xml:space="preserve"> et inégalités </w:t>
      </w:r>
      <w:r w:rsidRPr="00353B4A">
        <w:rPr>
          <w:rFonts w:ascii="Verdana" w:hAnsi="Verdana"/>
          <w:b/>
          <w:bCs/>
          <w:szCs w:val="20"/>
        </w:rPr>
        <w:t>sociales</w:t>
      </w:r>
    </w:p>
    <w:p w14:paraId="33A79C7B" w14:textId="77777777" w:rsidR="008B0E46" w:rsidRDefault="008B0E46" w:rsidP="008B0E46">
      <w:pPr>
        <w:spacing w:before="120" w:after="120"/>
        <w:jc w:val="both"/>
        <w:rPr>
          <w:rFonts w:ascii="Arial" w:hAnsi="Arial" w:cs="Arial"/>
          <w:bCs/>
          <w:sz w:val="22"/>
          <w:szCs w:val="22"/>
        </w:rPr>
      </w:pPr>
      <w:r>
        <w:rPr>
          <w:rFonts w:ascii="Arial" w:hAnsi="Arial" w:cs="Arial"/>
          <w:bCs/>
          <w:sz w:val="22"/>
          <w:szCs w:val="22"/>
        </w:rPr>
        <w:t>Alors que l’économie mondiale a connu une croissance soutenue pendant toute la seconde moitié du 20</w:t>
      </w:r>
      <w:r w:rsidRPr="005870ED">
        <w:rPr>
          <w:rFonts w:ascii="Arial" w:hAnsi="Arial" w:cs="Arial"/>
          <w:bCs/>
          <w:sz w:val="22"/>
          <w:szCs w:val="22"/>
          <w:vertAlign w:val="superscript"/>
        </w:rPr>
        <w:t>ème</w:t>
      </w:r>
      <w:r>
        <w:rPr>
          <w:rFonts w:ascii="Arial" w:hAnsi="Arial" w:cs="Arial"/>
          <w:bCs/>
          <w:sz w:val="22"/>
          <w:szCs w:val="22"/>
        </w:rPr>
        <w:t xml:space="preserve"> siècle, les inégalités de revenu ont évolué de façon moins régulière. Ces inégalités de revu entre les personnes sont d’abord diminué pendant la période de capitalisme régulé du fait de la forte redistribution effectuée par les Etat-Providence des pays développés. A partir des années 1980, les inégalités ont commencé à augmenter, sous l’effet de la progression rapide des revenus du capital, stimulés par la globalisation financière, et sous l’effet du biais technologique, c'est-à-dire de la montée des qualifications rendues nécessaires par les modes de production et les technologies modernes. </w:t>
      </w:r>
    </w:p>
    <w:p w14:paraId="402AEED4" w14:textId="77777777" w:rsidR="006020C1" w:rsidRDefault="006020C1" w:rsidP="008B0E46">
      <w:pPr>
        <w:spacing w:before="120" w:after="120"/>
        <w:jc w:val="both"/>
        <w:rPr>
          <w:rFonts w:ascii="Arial" w:hAnsi="Arial" w:cs="Arial"/>
          <w:bCs/>
          <w:sz w:val="22"/>
          <w:szCs w:val="22"/>
        </w:rPr>
      </w:pPr>
      <w:r>
        <w:rPr>
          <w:rFonts w:ascii="Arial" w:hAnsi="Arial" w:cs="Arial"/>
          <w:bCs/>
          <w:sz w:val="22"/>
          <w:szCs w:val="22"/>
        </w:rPr>
        <w:t>La Figure 10 montre l’évolution des inégalités mondiales selon trois définitions. Alors que les inégalités de PIB/tête (Concept 1) ont augmenté, les écarts de développement s’étant accrus,</w:t>
      </w:r>
      <w:r w:rsidR="00A43569">
        <w:rPr>
          <w:rFonts w:ascii="Arial" w:hAnsi="Arial" w:cs="Arial"/>
          <w:bCs/>
          <w:sz w:val="22"/>
          <w:szCs w:val="22"/>
        </w:rPr>
        <w:t xml:space="preserve"> elles baissent lorsque les PIB/tête sont pondérés par les populations (Concept 2). Lorsque les inégalités internes et externes sont combinées, les inégalités globales augmentent lorsque la Chine puis l’Inde entrent dans la mesure, mais elles diminuent avec le temps (relation de Kuznets).</w:t>
      </w:r>
    </w:p>
    <w:p w14:paraId="4A19142E" w14:textId="77777777" w:rsidR="006020C1" w:rsidRDefault="006020C1" w:rsidP="008B0E46">
      <w:pPr>
        <w:spacing w:before="120" w:after="120"/>
        <w:jc w:val="both"/>
        <w:rPr>
          <w:rFonts w:ascii="Arial" w:hAnsi="Arial" w:cs="Arial"/>
          <w:bCs/>
          <w:sz w:val="22"/>
          <w:szCs w:val="22"/>
        </w:rPr>
      </w:pPr>
    </w:p>
    <w:p w14:paraId="3F280865" w14:textId="77777777" w:rsidR="006020C1" w:rsidRPr="006020C1" w:rsidRDefault="006020C1" w:rsidP="008B0E46">
      <w:pPr>
        <w:spacing w:before="120" w:after="120"/>
        <w:jc w:val="both"/>
        <w:rPr>
          <w:rFonts w:ascii="Arial" w:hAnsi="Arial" w:cs="Arial"/>
          <w:b/>
          <w:bCs/>
          <w:sz w:val="22"/>
          <w:szCs w:val="22"/>
        </w:rPr>
      </w:pPr>
      <w:r w:rsidRPr="006020C1">
        <w:rPr>
          <w:rFonts w:ascii="Arial" w:hAnsi="Arial" w:cs="Arial"/>
          <w:b/>
          <w:bCs/>
          <w:sz w:val="22"/>
          <w:szCs w:val="22"/>
        </w:rPr>
        <w:t>Figure 10 : Les trois notions d’inégalité</w:t>
      </w:r>
    </w:p>
    <w:p w14:paraId="7DD6E2CE" w14:textId="3B8F77DA" w:rsidR="006020C1" w:rsidRDefault="000C7471" w:rsidP="008B0E46">
      <w:pPr>
        <w:spacing w:before="120" w:after="120"/>
        <w:jc w:val="both"/>
        <w:rPr>
          <w:rFonts w:ascii="Arial" w:hAnsi="Arial" w:cs="Arial"/>
          <w:bCs/>
          <w:sz w:val="22"/>
          <w:szCs w:val="22"/>
        </w:rPr>
      </w:pPr>
      <w:r w:rsidRPr="007B63E0">
        <w:rPr>
          <w:noProof/>
        </w:rPr>
        <w:drawing>
          <wp:inline distT="0" distB="0" distL="0" distR="0" wp14:anchorId="568F6D1A" wp14:editId="02456710">
            <wp:extent cx="5433060" cy="3710940"/>
            <wp:effectExtent l="0" t="0" r="2540" b="0"/>
            <wp:docPr id="2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33060" cy="3710940"/>
                    </a:xfrm>
                    <a:prstGeom prst="rect">
                      <a:avLst/>
                    </a:prstGeom>
                    <a:noFill/>
                    <a:ln>
                      <a:noFill/>
                    </a:ln>
                  </pic:spPr>
                </pic:pic>
              </a:graphicData>
            </a:graphic>
          </wp:inline>
        </w:drawing>
      </w:r>
    </w:p>
    <w:p w14:paraId="37C7EA0E" w14:textId="77777777" w:rsidR="006020C1" w:rsidRDefault="006020C1" w:rsidP="008B0E46">
      <w:pPr>
        <w:spacing w:before="120" w:after="120"/>
        <w:jc w:val="both"/>
        <w:rPr>
          <w:rFonts w:ascii="Arial" w:hAnsi="Arial" w:cs="Arial"/>
          <w:bCs/>
          <w:sz w:val="22"/>
          <w:szCs w:val="22"/>
        </w:rPr>
      </w:pPr>
    </w:p>
    <w:p w14:paraId="0B6AE040" w14:textId="77777777" w:rsidR="008B0E46" w:rsidRDefault="008B0E46" w:rsidP="008B0E46">
      <w:pPr>
        <w:spacing w:before="120" w:after="120"/>
        <w:jc w:val="both"/>
        <w:rPr>
          <w:rFonts w:ascii="Arial" w:hAnsi="Arial" w:cs="Arial"/>
          <w:bCs/>
          <w:sz w:val="22"/>
          <w:szCs w:val="22"/>
        </w:rPr>
      </w:pPr>
      <w:r>
        <w:rPr>
          <w:rFonts w:ascii="Arial" w:hAnsi="Arial" w:cs="Arial"/>
          <w:bCs/>
          <w:sz w:val="22"/>
          <w:szCs w:val="22"/>
        </w:rPr>
        <w:t xml:space="preserve">La distribution mondiale des coefficients de Gini (Figure </w:t>
      </w:r>
      <w:r w:rsidR="00A658C7">
        <w:rPr>
          <w:rFonts w:ascii="Arial" w:hAnsi="Arial" w:cs="Arial"/>
          <w:bCs/>
          <w:sz w:val="22"/>
          <w:szCs w:val="22"/>
        </w:rPr>
        <w:t>1</w:t>
      </w:r>
      <w:r w:rsidR="006020C1">
        <w:rPr>
          <w:rFonts w:ascii="Arial" w:hAnsi="Arial" w:cs="Arial"/>
          <w:bCs/>
          <w:sz w:val="22"/>
          <w:szCs w:val="22"/>
        </w:rPr>
        <w:t>1</w:t>
      </w:r>
      <w:r>
        <w:rPr>
          <w:rFonts w:ascii="Arial" w:hAnsi="Arial" w:cs="Arial"/>
          <w:bCs/>
          <w:sz w:val="22"/>
          <w:szCs w:val="22"/>
        </w:rPr>
        <w:t xml:space="preserve">) montre que les inégalités restent très fortes dans beaucoup de pays et de régions du monde comme en Amérique, en Afrique et dans une moindre mesure en Asie. L’Europe présente des niveaux d’inégalités beaucoup plus faibles et moins hétérogènes que l’Asie et les autres continents. Ceci peut s’expliquer </w:t>
      </w:r>
      <w:r>
        <w:rPr>
          <w:rFonts w:ascii="Arial" w:hAnsi="Arial" w:cs="Arial"/>
          <w:bCs/>
          <w:sz w:val="22"/>
          <w:szCs w:val="22"/>
        </w:rPr>
        <w:lastRenderedPageBreak/>
        <w:t>par le poids de l’Etat et l’importance de la redistribution dans les capitalismes continentaux et socio-démocrates.</w:t>
      </w:r>
      <w:r w:rsidRPr="00B57477">
        <w:rPr>
          <w:rFonts w:ascii="Arial" w:hAnsi="Arial" w:cs="Arial"/>
          <w:bCs/>
          <w:sz w:val="22"/>
          <w:szCs w:val="22"/>
        </w:rPr>
        <w:t xml:space="preserve"> </w:t>
      </w:r>
      <w:r>
        <w:rPr>
          <w:rFonts w:ascii="Arial" w:hAnsi="Arial" w:cs="Arial"/>
          <w:bCs/>
          <w:sz w:val="22"/>
          <w:szCs w:val="22"/>
        </w:rPr>
        <w:t xml:space="preserve">). </w:t>
      </w:r>
    </w:p>
    <w:p w14:paraId="1E299D77" w14:textId="77777777" w:rsidR="008B0E46" w:rsidRDefault="008B0E46" w:rsidP="008B0E46">
      <w:pPr>
        <w:spacing w:before="120" w:after="120"/>
        <w:jc w:val="both"/>
        <w:rPr>
          <w:rFonts w:ascii="Arial" w:hAnsi="Arial" w:cs="Arial"/>
          <w:bCs/>
          <w:sz w:val="22"/>
          <w:szCs w:val="22"/>
        </w:rPr>
      </w:pPr>
    </w:p>
    <w:p w14:paraId="3D8AAA22" w14:textId="09B14A34" w:rsidR="008B0E46" w:rsidRDefault="008B0E46" w:rsidP="008B0E46">
      <w:pPr>
        <w:spacing w:before="120" w:after="120"/>
        <w:rPr>
          <w:rFonts w:ascii="Arial" w:hAnsi="Arial" w:cs="Arial"/>
          <w:bCs/>
          <w:sz w:val="22"/>
          <w:szCs w:val="22"/>
        </w:rPr>
      </w:pPr>
      <w:r>
        <w:rPr>
          <w:rFonts w:ascii="Arial" w:hAnsi="Arial" w:cs="Arial"/>
          <w:b/>
          <w:bCs/>
          <w:sz w:val="22"/>
          <w:szCs w:val="22"/>
        </w:rPr>
        <w:t xml:space="preserve">Figure </w:t>
      </w:r>
      <w:r w:rsidR="00A658C7">
        <w:rPr>
          <w:rFonts w:ascii="Arial" w:hAnsi="Arial" w:cs="Arial"/>
          <w:b/>
          <w:bCs/>
          <w:sz w:val="22"/>
          <w:szCs w:val="22"/>
        </w:rPr>
        <w:t>1</w:t>
      </w:r>
      <w:r w:rsidR="00A43569">
        <w:rPr>
          <w:rFonts w:ascii="Arial" w:hAnsi="Arial" w:cs="Arial"/>
          <w:b/>
          <w:bCs/>
          <w:sz w:val="22"/>
          <w:szCs w:val="22"/>
        </w:rPr>
        <w:t>1</w:t>
      </w:r>
      <w:r>
        <w:rPr>
          <w:rFonts w:ascii="Arial" w:hAnsi="Arial" w:cs="Arial"/>
          <w:b/>
          <w:bCs/>
          <w:sz w:val="22"/>
          <w:szCs w:val="22"/>
        </w:rPr>
        <w:t xml:space="preserve"> : </w:t>
      </w:r>
      <w:r w:rsidRPr="004F37F4">
        <w:rPr>
          <w:rFonts w:ascii="Arial" w:hAnsi="Arial" w:cs="Arial"/>
          <w:b/>
          <w:bCs/>
          <w:sz w:val="22"/>
          <w:szCs w:val="22"/>
        </w:rPr>
        <w:t>Coefficient de Gini</w:t>
      </w:r>
      <w:r>
        <w:rPr>
          <w:rFonts w:ascii="Arial" w:hAnsi="Arial" w:cs="Arial"/>
          <w:b/>
          <w:bCs/>
          <w:sz w:val="22"/>
          <w:szCs w:val="22"/>
        </w:rPr>
        <w:t xml:space="preserve"> </w:t>
      </w:r>
      <w:r w:rsidR="000C7471">
        <w:rPr>
          <w:noProof/>
        </w:rPr>
        <w:drawing>
          <wp:inline distT="0" distB="0" distL="0" distR="0" wp14:anchorId="57596D0A" wp14:editId="701FA95D">
            <wp:extent cx="5880100" cy="2583815"/>
            <wp:effectExtent l="0" t="0" r="12700" b="6985"/>
            <wp:docPr id="22" name="Image 22" descr="GINI_retouched_leg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GINI_retouched_legen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880100" cy="2583815"/>
                    </a:xfrm>
                    <a:prstGeom prst="rect">
                      <a:avLst/>
                    </a:prstGeom>
                    <a:noFill/>
                    <a:ln>
                      <a:noFill/>
                    </a:ln>
                  </pic:spPr>
                </pic:pic>
              </a:graphicData>
            </a:graphic>
          </wp:inline>
        </w:drawing>
      </w:r>
    </w:p>
    <w:p w14:paraId="0BADB445" w14:textId="77777777" w:rsidR="008B0E46" w:rsidRDefault="008B0E46" w:rsidP="008B0E46">
      <w:pPr>
        <w:spacing w:before="120" w:after="120"/>
        <w:jc w:val="both"/>
        <w:rPr>
          <w:rFonts w:ascii="Arial" w:hAnsi="Arial" w:cs="Arial"/>
          <w:bCs/>
          <w:sz w:val="22"/>
          <w:szCs w:val="22"/>
        </w:rPr>
      </w:pPr>
    </w:p>
    <w:p w14:paraId="21E96D58" w14:textId="77777777" w:rsidR="008B0E46" w:rsidRDefault="008B0E46" w:rsidP="00A658C7">
      <w:pPr>
        <w:spacing w:before="120" w:after="120"/>
        <w:jc w:val="both"/>
        <w:rPr>
          <w:rFonts w:ascii="Arial" w:hAnsi="Arial" w:cs="Arial"/>
          <w:bCs/>
          <w:sz w:val="22"/>
          <w:szCs w:val="22"/>
        </w:rPr>
      </w:pPr>
      <w:r>
        <w:rPr>
          <w:rFonts w:ascii="Arial" w:hAnsi="Arial" w:cs="Arial"/>
          <w:bCs/>
          <w:sz w:val="22"/>
          <w:szCs w:val="22"/>
        </w:rPr>
        <w:t xml:space="preserve">Mais la redistribution par l’impôt n’explique pas tout et les mécanismes économiques ont également contribué à diminuer les inégalités. Les progrès de l’éducation, les gains de productivité du travail liés au développement industriel et la croissance des revenus du travail (augmentation des salaires et de l’emploi salarié) ont contribué à diminuer les inégalités dans tous les pays riches comme le montre la baisse </w:t>
      </w:r>
      <w:r w:rsidR="00A658C7">
        <w:rPr>
          <w:rFonts w:ascii="Arial" w:hAnsi="Arial" w:cs="Arial"/>
          <w:bCs/>
          <w:sz w:val="22"/>
          <w:szCs w:val="22"/>
        </w:rPr>
        <w:t>régulière et généralisée</w:t>
      </w:r>
      <w:r>
        <w:rPr>
          <w:rFonts w:ascii="Arial" w:hAnsi="Arial" w:cs="Arial"/>
          <w:bCs/>
          <w:sz w:val="22"/>
          <w:szCs w:val="22"/>
        </w:rPr>
        <w:t xml:space="preserve"> de la part d</w:t>
      </w:r>
      <w:r w:rsidR="00A658C7">
        <w:rPr>
          <w:rFonts w:ascii="Arial" w:hAnsi="Arial" w:cs="Arial"/>
          <w:bCs/>
          <w:sz w:val="22"/>
          <w:szCs w:val="22"/>
        </w:rPr>
        <w:t>u</w:t>
      </w:r>
      <w:r>
        <w:rPr>
          <w:rFonts w:ascii="Arial" w:hAnsi="Arial" w:cs="Arial"/>
          <w:bCs/>
          <w:sz w:val="22"/>
          <w:szCs w:val="22"/>
        </w:rPr>
        <w:t xml:space="preserve"> revenu</w:t>
      </w:r>
      <w:r w:rsidR="00A658C7">
        <w:rPr>
          <w:rFonts w:ascii="Arial" w:hAnsi="Arial" w:cs="Arial"/>
          <w:bCs/>
          <w:sz w:val="22"/>
          <w:szCs w:val="22"/>
        </w:rPr>
        <w:t xml:space="preserve"> national</w:t>
      </w:r>
      <w:r>
        <w:rPr>
          <w:rFonts w:ascii="Arial" w:hAnsi="Arial" w:cs="Arial"/>
          <w:bCs/>
          <w:sz w:val="22"/>
          <w:szCs w:val="22"/>
        </w:rPr>
        <w:t xml:space="preserve"> avant impôts perçu</w:t>
      </w:r>
      <w:r w:rsidR="00A658C7">
        <w:rPr>
          <w:rFonts w:ascii="Arial" w:hAnsi="Arial" w:cs="Arial"/>
          <w:bCs/>
          <w:sz w:val="22"/>
          <w:szCs w:val="22"/>
        </w:rPr>
        <w:t>e</w:t>
      </w:r>
      <w:r>
        <w:rPr>
          <w:rFonts w:ascii="Arial" w:hAnsi="Arial" w:cs="Arial"/>
          <w:bCs/>
          <w:sz w:val="22"/>
          <w:szCs w:val="22"/>
        </w:rPr>
        <w:t xml:space="preserve"> par les 1% de la population les plus riches (Figure </w:t>
      </w:r>
      <w:r w:rsidR="00A658C7">
        <w:rPr>
          <w:rFonts w:ascii="Arial" w:hAnsi="Arial" w:cs="Arial"/>
          <w:bCs/>
          <w:sz w:val="22"/>
          <w:szCs w:val="22"/>
        </w:rPr>
        <w:t>1</w:t>
      </w:r>
      <w:r w:rsidR="00A43569">
        <w:rPr>
          <w:rFonts w:ascii="Arial" w:hAnsi="Arial" w:cs="Arial"/>
          <w:bCs/>
          <w:sz w:val="22"/>
          <w:szCs w:val="22"/>
        </w:rPr>
        <w:t>2</w:t>
      </w:r>
      <w:r>
        <w:rPr>
          <w:rFonts w:ascii="Arial" w:hAnsi="Arial" w:cs="Arial"/>
          <w:bCs/>
          <w:sz w:val="22"/>
          <w:szCs w:val="22"/>
        </w:rPr>
        <w:t>)</w:t>
      </w:r>
      <w:r w:rsidR="00A658C7">
        <w:rPr>
          <w:rFonts w:ascii="Arial" w:hAnsi="Arial" w:cs="Arial"/>
          <w:bCs/>
          <w:sz w:val="22"/>
          <w:szCs w:val="22"/>
        </w:rPr>
        <w:t xml:space="preserve"> pendant les 30 glorieuses, période de plein-emploi et de progrès rapide de l’éducation</w:t>
      </w:r>
      <w:r>
        <w:rPr>
          <w:rFonts w:ascii="Arial" w:hAnsi="Arial" w:cs="Arial"/>
          <w:bCs/>
          <w:sz w:val="22"/>
          <w:szCs w:val="22"/>
        </w:rPr>
        <w:t>.</w:t>
      </w:r>
    </w:p>
    <w:p w14:paraId="13149E3D" w14:textId="77777777" w:rsidR="008B0E46" w:rsidRPr="004F37F4" w:rsidRDefault="008B0E46" w:rsidP="008B0E46">
      <w:pPr>
        <w:shd w:val="clear" w:color="auto" w:fill="FFFFFF"/>
        <w:spacing w:before="100" w:beforeAutospacing="1" w:after="100" w:afterAutospacing="1" w:line="270" w:lineRule="atLeast"/>
        <w:rPr>
          <w:rFonts w:ascii="Arial" w:hAnsi="Arial" w:cs="Arial"/>
          <w:color w:val="000000"/>
          <w:sz w:val="22"/>
          <w:szCs w:val="22"/>
        </w:rPr>
      </w:pPr>
      <w:r>
        <w:rPr>
          <w:rFonts w:ascii="Arial" w:hAnsi="Arial" w:cs="Arial"/>
          <w:b/>
          <w:bCs/>
          <w:color w:val="000000"/>
          <w:sz w:val="22"/>
          <w:szCs w:val="22"/>
        </w:rPr>
        <w:t xml:space="preserve">Figure </w:t>
      </w:r>
      <w:r w:rsidR="00A658C7">
        <w:rPr>
          <w:rFonts w:ascii="Arial" w:hAnsi="Arial" w:cs="Arial"/>
          <w:b/>
          <w:bCs/>
          <w:color w:val="000000"/>
          <w:sz w:val="22"/>
          <w:szCs w:val="22"/>
        </w:rPr>
        <w:t>1</w:t>
      </w:r>
      <w:r w:rsidR="00A43569">
        <w:rPr>
          <w:rFonts w:ascii="Arial" w:hAnsi="Arial" w:cs="Arial"/>
          <w:b/>
          <w:bCs/>
          <w:color w:val="000000"/>
          <w:sz w:val="22"/>
          <w:szCs w:val="22"/>
        </w:rPr>
        <w:t>2</w:t>
      </w:r>
      <w:r>
        <w:rPr>
          <w:rFonts w:ascii="Arial" w:hAnsi="Arial" w:cs="Arial"/>
          <w:b/>
          <w:bCs/>
          <w:color w:val="000000"/>
          <w:sz w:val="22"/>
          <w:szCs w:val="22"/>
        </w:rPr>
        <w:t xml:space="preserve"> : </w:t>
      </w:r>
      <w:r w:rsidRPr="004F37F4">
        <w:rPr>
          <w:rFonts w:ascii="Arial" w:hAnsi="Arial" w:cs="Arial"/>
          <w:b/>
          <w:bCs/>
          <w:color w:val="000000"/>
          <w:sz w:val="22"/>
          <w:szCs w:val="22"/>
        </w:rPr>
        <w:t>Part des revenus avant impôts perçue par les 1 % les plus riches (1985-2005)</w:t>
      </w:r>
    </w:p>
    <w:p w14:paraId="190758C3" w14:textId="393239BB" w:rsidR="008B0E46" w:rsidRDefault="000C7471" w:rsidP="008B0E46">
      <w:pPr>
        <w:spacing w:before="120" w:after="120"/>
        <w:jc w:val="center"/>
        <w:rPr>
          <w:rFonts w:ascii="Arial" w:hAnsi="Arial" w:cs="Arial"/>
          <w:sz w:val="22"/>
          <w:szCs w:val="22"/>
        </w:rPr>
      </w:pPr>
      <w:r w:rsidRPr="00ED7AC1">
        <w:rPr>
          <w:rFonts w:ascii="Arial" w:hAnsi="Arial" w:cs="Arial"/>
          <w:noProof/>
          <w:sz w:val="22"/>
          <w:szCs w:val="22"/>
        </w:rPr>
        <w:drawing>
          <wp:inline distT="0" distB="0" distL="0" distR="0" wp14:anchorId="1CB8F65F" wp14:editId="7C53E2D7">
            <wp:extent cx="4465955" cy="3168650"/>
            <wp:effectExtent l="0" t="0" r="4445" b="6350"/>
            <wp:docPr id="20" name="Image 1" descr="http://www.inegalites.fr/IMG/bmp/Saez_Piketty-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http://www.inegalites.fr/IMG/bmp/Saez_Piketty-2.b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65955" cy="3168650"/>
                    </a:xfrm>
                    <a:prstGeom prst="rect">
                      <a:avLst/>
                    </a:prstGeom>
                    <a:noFill/>
                    <a:ln>
                      <a:noFill/>
                    </a:ln>
                  </pic:spPr>
                </pic:pic>
              </a:graphicData>
            </a:graphic>
          </wp:inline>
        </w:drawing>
      </w:r>
    </w:p>
    <w:p w14:paraId="49E4F912" w14:textId="77777777" w:rsidR="00A43569" w:rsidRDefault="00A43569" w:rsidP="00A658C7">
      <w:pPr>
        <w:jc w:val="both"/>
        <w:rPr>
          <w:rFonts w:ascii="Arial" w:hAnsi="Arial" w:cs="Arial"/>
          <w:sz w:val="22"/>
          <w:szCs w:val="22"/>
        </w:rPr>
      </w:pPr>
    </w:p>
    <w:p w14:paraId="70340546" w14:textId="77777777" w:rsidR="00A658C7" w:rsidRPr="005870ED" w:rsidRDefault="00A658C7" w:rsidP="00A658C7">
      <w:pPr>
        <w:jc w:val="both"/>
        <w:rPr>
          <w:rFonts w:ascii="Arial" w:hAnsi="Arial" w:cs="Arial"/>
          <w:sz w:val="22"/>
          <w:szCs w:val="22"/>
        </w:rPr>
      </w:pPr>
      <w:r>
        <w:rPr>
          <w:rFonts w:ascii="Arial" w:hAnsi="Arial" w:cs="Arial"/>
          <w:sz w:val="22"/>
          <w:szCs w:val="22"/>
        </w:rPr>
        <w:t>La croissance ne génère pas mécaniquement des progrès généralisés dans les niveaux de vie. Un certain nombre de conditions intermédiaires sont requises pour que la croissance réduise la pauvreté et améliore le niveau de vie de tous.</w:t>
      </w:r>
    </w:p>
    <w:p w14:paraId="16BB3130" w14:textId="77777777" w:rsidR="00A658C7" w:rsidRPr="00DD41BA" w:rsidRDefault="00A658C7" w:rsidP="00A658C7">
      <w:pPr>
        <w:spacing w:before="120" w:after="120"/>
        <w:jc w:val="both"/>
        <w:rPr>
          <w:rFonts w:ascii="Arial" w:hAnsi="Arial" w:cs="Arial"/>
          <w:sz w:val="22"/>
          <w:szCs w:val="22"/>
        </w:rPr>
      </w:pPr>
      <w:r>
        <w:rPr>
          <w:rFonts w:ascii="Arial" w:hAnsi="Arial" w:cs="Arial"/>
          <w:sz w:val="22"/>
          <w:szCs w:val="22"/>
        </w:rPr>
        <w:t>L</w:t>
      </w:r>
      <w:r w:rsidRPr="00DD41BA">
        <w:rPr>
          <w:rFonts w:ascii="Arial" w:hAnsi="Arial" w:cs="Arial"/>
          <w:sz w:val="22"/>
          <w:szCs w:val="22"/>
        </w:rPr>
        <w:t xml:space="preserve">es </w:t>
      </w:r>
      <w:r w:rsidRPr="00DD41BA">
        <w:rPr>
          <w:rFonts w:ascii="Arial" w:hAnsi="Arial" w:cs="Arial"/>
          <w:b/>
          <w:bCs/>
          <w:sz w:val="22"/>
          <w:szCs w:val="22"/>
        </w:rPr>
        <w:t>effets</w:t>
      </w:r>
      <w:r w:rsidRPr="00DD41BA">
        <w:rPr>
          <w:rFonts w:ascii="Arial" w:hAnsi="Arial" w:cs="Arial"/>
          <w:sz w:val="22"/>
          <w:szCs w:val="22"/>
        </w:rPr>
        <w:t xml:space="preserve"> de ces cycles d’activité </w:t>
      </w:r>
      <w:r w:rsidRPr="00DD41BA">
        <w:rPr>
          <w:rFonts w:ascii="Arial" w:hAnsi="Arial" w:cs="Arial"/>
          <w:b/>
          <w:bCs/>
          <w:sz w:val="22"/>
          <w:szCs w:val="22"/>
        </w:rPr>
        <w:t>sur les conditions de vie</w:t>
      </w:r>
      <w:r w:rsidRPr="00DD41BA">
        <w:rPr>
          <w:rFonts w:ascii="Arial" w:hAnsi="Arial" w:cs="Arial"/>
          <w:sz w:val="22"/>
          <w:szCs w:val="22"/>
        </w:rPr>
        <w:t xml:space="preserve"> dépendent de la </w:t>
      </w:r>
      <w:r w:rsidRPr="00DD41BA">
        <w:rPr>
          <w:rFonts w:ascii="Arial" w:hAnsi="Arial" w:cs="Arial"/>
          <w:b/>
          <w:bCs/>
          <w:sz w:val="22"/>
          <w:szCs w:val="22"/>
        </w:rPr>
        <w:t>répartition</w:t>
      </w:r>
      <w:r w:rsidRPr="00DD41BA">
        <w:rPr>
          <w:rFonts w:ascii="Arial" w:hAnsi="Arial" w:cs="Arial"/>
          <w:sz w:val="22"/>
          <w:szCs w:val="22"/>
        </w:rPr>
        <w:t xml:space="preserve"> du revenu national entre les catégories de la population. </w:t>
      </w:r>
    </w:p>
    <w:p w14:paraId="265AC180" w14:textId="77777777" w:rsidR="00A658C7" w:rsidRDefault="00A658C7" w:rsidP="00A658C7">
      <w:pPr>
        <w:spacing w:before="120" w:after="120"/>
        <w:jc w:val="both"/>
        <w:rPr>
          <w:rFonts w:ascii="Arial" w:hAnsi="Arial" w:cs="Arial"/>
          <w:sz w:val="22"/>
          <w:szCs w:val="22"/>
        </w:rPr>
      </w:pPr>
      <w:r w:rsidRPr="00DD41BA">
        <w:rPr>
          <w:rFonts w:ascii="Arial" w:hAnsi="Arial" w:cs="Arial"/>
          <w:sz w:val="22"/>
          <w:szCs w:val="22"/>
        </w:rPr>
        <w:t xml:space="preserve">Cette dernière dépend étroitement de la </w:t>
      </w:r>
      <w:r w:rsidRPr="00DD41BA">
        <w:rPr>
          <w:rFonts w:ascii="Arial" w:hAnsi="Arial" w:cs="Arial"/>
          <w:b/>
          <w:bCs/>
          <w:sz w:val="22"/>
          <w:szCs w:val="22"/>
        </w:rPr>
        <w:t>situation du marché du travail</w:t>
      </w:r>
      <w:r w:rsidRPr="00DD41BA">
        <w:rPr>
          <w:rFonts w:ascii="Arial" w:hAnsi="Arial" w:cs="Arial"/>
          <w:sz w:val="22"/>
          <w:szCs w:val="22"/>
        </w:rPr>
        <w:t xml:space="preserve"> et de l’évolution de l’emploi dont est dépendante de la </w:t>
      </w:r>
      <w:r w:rsidRPr="00DD41BA">
        <w:rPr>
          <w:rFonts w:ascii="Arial" w:hAnsi="Arial" w:cs="Arial"/>
          <w:b/>
          <w:bCs/>
          <w:sz w:val="22"/>
          <w:szCs w:val="22"/>
        </w:rPr>
        <w:t>répartition primaire</w:t>
      </w:r>
      <w:r w:rsidRPr="00DD41BA">
        <w:rPr>
          <w:rFonts w:ascii="Arial" w:hAnsi="Arial" w:cs="Arial"/>
          <w:sz w:val="22"/>
          <w:szCs w:val="22"/>
        </w:rPr>
        <w:t xml:space="preserve"> effectuée par le marché du travail, et des politiques publiques de </w:t>
      </w:r>
      <w:r w:rsidRPr="00DD41BA">
        <w:rPr>
          <w:rFonts w:ascii="Arial" w:hAnsi="Arial" w:cs="Arial"/>
          <w:b/>
          <w:bCs/>
          <w:sz w:val="22"/>
          <w:szCs w:val="22"/>
        </w:rPr>
        <w:t>redistribution</w:t>
      </w:r>
      <w:r w:rsidRPr="00DD41BA">
        <w:rPr>
          <w:rFonts w:ascii="Arial" w:hAnsi="Arial" w:cs="Arial"/>
          <w:sz w:val="22"/>
          <w:szCs w:val="22"/>
        </w:rPr>
        <w:t xml:space="preserve"> dont dépend la </w:t>
      </w:r>
      <w:r w:rsidRPr="00DD41BA">
        <w:rPr>
          <w:rFonts w:ascii="Arial" w:hAnsi="Arial" w:cs="Arial"/>
          <w:b/>
          <w:bCs/>
          <w:sz w:val="22"/>
          <w:szCs w:val="22"/>
        </w:rPr>
        <w:t>répartition secondaire</w:t>
      </w:r>
      <w:r w:rsidRPr="00DD41BA">
        <w:rPr>
          <w:rFonts w:ascii="Arial" w:hAnsi="Arial" w:cs="Arial"/>
          <w:sz w:val="22"/>
          <w:szCs w:val="22"/>
        </w:rPr>
        <w:t xml:space="preserve"> des revenus. </w:t>
      </w:r>
    </w:p>
    <w:p w14:paraId="02BE14C9" w14:textId="77777777" w:rsidR="00A658C7" w:rsidRDefault="00A658C7" w:rsidP="00A658C7">
      <w:pPr>
        <w:spacing w:before="120" w:after="120"/>
        <w:jc w:val="both"/>
        <w:rPr>
          <w:rFonts w:ascii="Arial" w:hAnsi="Arial" w:cs="Arial"/>
          <w:sz w:val="22"/>
          <w:szCs w:val="22"/>
        </w:rPr>
      </w:pPr>
      <w:r>
        <w:rPr>
          <w:rFonts w:ascii="Arial" w:hAnsi="Arial" w:cs="Arial"/>
          <w:sz w:val="22"/>
          <w:szCs w:val="22"/>
        </w:rPr>
        <w:t>Ainsi, Kuznets a mis en évidence une relation non linéaire entre croissance de long terme et inégalités des revenus qui s’explique par les importants changements structurels et institutionnels provoqués par le mécanisme de croissance.</w:t>
      </w:r>
    </w:p>
    <w:p w14:paraId="513008DC" w14:textId="77777777" w:rsidR="00A658C7" w:rsidRDefault="00A658C7" w:rsidP="00A658C7">
      <w:pPr>
        <w:spacing w:before="120"/>
        <w:jc w:val="both"/>
        <w:rPr>
          <w:rFonts w:ascii="Arial" w:hAnsi="Arial" w:cs="Arial"/>
          <w:sz w:val="22"/>
          <w:szCs w:val="22"/>
        </w:rPr>
      </w:pPr>
      <w:r>
        <w:rPr>
          <w:rFonts w:ascii="Arial" w:hAnsi="Arial" w:cs="Arial"/>
          <w:sz w:val="22"/>
          <w:szCs w:val="22"/>
        </w:rPr>
        <w:t>Dans la première phase de croissance basée sur l’accumulation de capital physique, les inégalités de revenu sont favorables à l’investissement, car les plus riches qui concentrent les revenus épargnent plus que les plus pauvres, ce qui stimule l’investissement et in fine la croissance.</w:t>
      </w:r>
    </w:p>
    <w:p w14:paraId="3AD0AF59" w14:textId="77777777" w:rsidR="00A658C7" w:rsidRDefault="00A658C7" w:rsidP="00A658C7">
      <w:pPr>
        <w:spacing w:before="120"/>
        <w:jc w:val="both"/>
        <w:rPr>
          <w:rFonts w:ascii="Arial" w:hAnsi="Arial" w:cs="Arial"/>
          <w:sz w:val="22"/>
          <w:szCs w:val="22"/>
        </w:rPr>
      </w:pPr>
      <w:r>
        <w:rPr>
          <w:rFonts w:ascii="Arial" w:hAnsi="Arial" w:cs="Arial"/>
          <w:sz w:val="22"/>
          <w:szCs w:val="22"/>
        </w:rPr>
        <w:t>Dans la seconde étape, les inégalités deviennent plus défavorables à l’investissement, à la productivité à l’innovation car elles génèrent des revendications de redistribution qui réduisent la capacité d’accumulation, et donc in fine à la croissance. Les meilleurs niveaux d’éducation augmentent également la réactivité aux inégalités, ce qui peut conduire à une instabilité peu propice à l’investissement et la croissance.</w:t>
      </w:r>
    </w:p>
    <w:p w14:paraId="72E3C87D" w14:textId="77777777" w:rsidR="00A658C7" w:rsidRPr="00DD41BA" w:rsidRDefault="00A658C7" w:rsidP="00A658C7">
      <w:pPr>
        <w:spacing w:before="120"/>
        <w:jc w:val="both"/>
        <w:rPr>
          <w:rFonts w:ascii="Arial" w:hAnsi="Arial" w:cs="Arial"/>
          <w:sz w:val="22"/>
          <w:szCs w:val="22"/>
        </w:rPr>
      </w:pPr>
    </w:p>
    <w:p w14:paraId="278F577A" w14:textId="77777777" w:rsidR="00A658C7" w:rsidRPr="00DD41BA" w:rsidRDefault="00A658C7" w:rsidP="00A658C7">
      <w:pPr>
        <w:spacing w:before="120" w:after="120"/>
        <w:jc w:val="both"/>
        <w:rPr>
          <w:rFonts w:ascii="Arial" w:hAnsi="Arial" w:cs="Arial"/>
          <w:sz w:val="22"/>
          <w:szCs w:val="22"/>
        </w:rPr>
      </w:pPr>
      <w:r w:rsidRPr="00DD41BA">
        <w:rPr>
          <w:rFonts w:ascii="Arial" w:hAnsi="Arial" w:cs="Arial"/>
          <w:sz w:val="22"/>
          <w:szCs w:val="22"/>
        </w:rPr>
        <w:t xml:space="preserve">Enfin, le contenu en emploi de la croissance dépend indirectement des </w:t>
      </w:r>
      <w:r w:rsidRPr="00DD41BA">
        <w:rPr>
          <w:rFonts w:ascii="Arial" w:hAnsi="Arial" w:cs="Arial"/>
          <w:b/>
          <w:bCs/>
          <w:sz w:val="22"/>
          <w:szCs w:val="22"/>
        </w:rPr>
        <w:t>technologies</w:t>
      </w:r>
      <w:r w:rsidRPr="00DD41BA">
        <w:rPr>
          <w:rFonts w:ascii="Arial" w:hAnsi="Arial" w:cs="Arial"/>
          <w:sz w:val="22"/>
          <w:szCs w:val="22"/>
        </w:rPr>
        <w:t xml:space="preserve"> et du type d’organisation de la production mises en œuvre et de la nature et de la quantité de travail que nécessite leur mise en œuvre. </w:t>
      </w:r>
    </w:p>
    <w:p w14:paraId="411BA4BC" w14:textId="77777777" w:rsidR="00A658C7" w:rsidRPr="00DD41BA" w:rsidRDefault="00A658C7" w:rsidP="00A658C7">
      <w:pPr>
        <w:numPr>
          <w:ilvl w:val="1"/>
          <w:numId w:val="4"/>
        </w:numPr>
        <w:spacing w:before="120" w:after="120"/>
        <w:jc w:val="both"/>
        <w:rPr>
          <w:rFonts w:ascii="Arial" w:hAnsi="Arial" w:cs="Arial"/>
          <w:i/>
          <w:iCs/>
          <w:sz w:val="22"/>
          <w:szCs w:val="22"/>
        </w:rPr>
      </w:pPr>
      <w:r w:rsidRPr="00DD41BA">
        <w:rPr>
          <w:rFonts w:ascii="Arial" w:hAnsi="Arial" w:cs="Arial"/>
          <w:i/>
          <w:iCs/>
          <w:sz w:val="22"/>
          <w:szCs w:val="22"/>
        </w:rPr>
        <w:t xml:space="preserve">Ainsi, la croissance rapide des 30 glorieuses et les techniques et organisations qui la fondaient, étaient gourmandes en travail peu qualifié et nombreux : elle était donc associée au plein emploi. </w:t>
      </w:r>
    </w:p>
    <w:p w14:paraId="5C8B89BA" w14:textId="77777777" w:rsidR="00A658C7" w:rsidRPr="00DD41BA" w:rsidRDefault="00A658C7" w:rsidP="00A658C7">
      <w:pPr>
        <w:numPr>
          <w:ilvl w:val="1"/>
          <w:numId w:val="4"/>
        </w:numPr>
        <w:spacing w:before="120" w:after="120"/>
        <w:jc w:val="both"/>
        <w:rPr>
          <w:rFonts w:ascii="Arial" w:hAnsi="Arial" w:cs="Arial"/>
          <w:i/>
          <w:iCs/>
          <w:sz w:val="22"/>
          <w:szCs w:val="22"/>
        </w:rPr>
      </w:pPr>
      <w:r w:rsidRPr="00DD41BA">
        <w:rPr>
          <w:rFonts w:ascii="Arial" w:hAnsi="Arial" w:cs="Arial"/>
          <w:i/>
          <w:iCs/>
          <w:sz w:val="22"/>
          <w:szCs w:val="22"/>
        </w:rPr>
        <w:t>Le régime de croissance actuel est plus gourmand en qualifications et en capital humain et immatériel que le précédent, d’où les niveaux plus élevés de chômage pour les travailleurs peu qualifiés enregistrés dans les économies dont le marché du travail est peu flexible et où la protection sociale est élevée.</w:t>
      </w:r>
    </w:p>
    <w:p w14:paraId="702F7EB5" w14:textId="77777777" w:rsidR="00A658C7" w:rsidRPr="00443C4B" w:rsidRDefault="00A658C7" w:rsidP="00A658C7">
      <w:pPr>
        <w:spacing w:before="120" w:after="120"/>
        <w:jc w:val="both"/>
        <w:rPr>
          <w:rFonts w:ascii="Arial" w:hAnsi="Arial" w:cs="Arial"/>
          <w:sz w:val="22"/>
          <w:szCs w:val="22"/>
        </w:rPr>
      </w:pPr>
      <w:r w:rsidRPr="00DD41BA">
        <w:rPr>
          <w:rFonts w:ascii="Arial" w:hAnsi="Arial" w:cs="Arial"/>
          <w:sz w:val="22"/>
          <w:szCs w:val="22"/>
        </w:rPr>
        <w:t xml:space="preserve">Pour finir, </w:t>
      </w:r>
      <w:r w:rsidRPr="00DD41BA">
        <w:rPr>
          <w:rFonts w:ascii="Arial" w:hAnsi="Arial" w:cs="Arial"/>
          <w:b/>
          <w:bCs/>
          <w:sz w:val="22"/>
          <w:szCs w:val="22"/>
        </w:rPr>
        <w:t>le système éducatif</w:t>
      </w:r>
      <w:r w:rsidRPr="00DD41BA">
        <w:rPr>
          <w:rFonts w:ascii="Arial" w:hAnsi="Arial" w:cs="Arial"/>
          <w:sz w:val="22"/>
          <w:szCs w:val="22"/>
        </w:rPr>
        <w:t xml:space="preserve"> joue un rôle non négligeable dans ces relations puisque c’est lui qui va alimenter les entreprises et le marché du travail  par une offre de qualifications qui doit évoluer au fur et à mesure que les besoins liés aux technologies et à l’organisation de la production évoluent. </w:t>
      </w:r>
    </w:p>
    <w:p w14:paraId="691CD34C" w14:textId="77777777" w:rsidR="008B0E46" w:rsidRPr="00B46889" w:rsidRDefault="008B0E46" w:rsidP="008B0E46">
      <w:pPr>
        <w:widowControl w:val="0"/>
        <w:autoSpaceDE w:val="0"/>
        <w:autoSpaceDN w:val="0"/>
        <w:adjustRightInd w:val="0"/>
        <w:spacing w:after="100"/>
        <w:jc w:val="both"/>
        <w:rPr>
          <w:rFonts w:ascii="Arial" w:hAnsi="Arial" w:cs="Arial"/>
          <w:sz w:val="22"/>
        </w:rPr>
      </w:pPr>
      <w:r w:rsidRPr="00B46889">
        <w:rPr>
          <w:rFonts w:ascii="Arial" w:hAnsi="Arial" w:cs="Arial"/>
          <w:sz w:val="22"/>
        </w:rPr>
        <w:t>L’Organisation de coopération et de développement économiques (OCDE) a présenté le 5 décembre 2011 son deuxième rapport sur les inégalités. Étudiant l’évolution des inégalités de revenus dans 22 pays, le rapport constate qu’elles ont globalement fortement augmenté depuis le milieu des années 1980.</w:t>
      </w:r>
    </w:p>
    <w:p w14:paraId="11E2FA08" w14:textId="77777777" w:rsidR="008B0E46" w:rsidRPr="00B46889" w:rsidRDefault="008B0E46" w:rsidP="008B0E46">
      <w:pPr>
        <w:widowControl w:val="0"/>
        <w:autoSpaceDE w:val="0"/>
        <w:autoSpaceDN w:val="0"/>
        <w:adjustRightInd w:val="0"/>
        <w:spacing w:after="100"/>
        <w:jc w:val="both"/>
        <w:rPr>
          <w:rFonts w:ascii="Arial" w:hAnsi="Arial" w:cs="Arial"/>
          <w:sz w:val="22"/>
        </w:rPr>
      </w:pPr>
      <w:r w:rsidRPr="00B46889">
        <w:rPr>
          <w:rFonts w:ascii="Arial" w:hAnsi="Arial" w:cs="Arial"/>
          <w:sz w:val="22"/>
        </w:rPr>
        <w:t xml:space="preserve">Ce constat vaut pour des pays où les inégalités étaient originellement déjà fortes et où elles se sont encore accentuées au cours des 10 dernières années, comme Israël ou les États-Unis (le revenu disponible moyen des 10% les plus riches y est 14 fois supérieur à celui des 10% les plus pauvres). Mais il vaut aussi pour des pays traditionnellement plus égalitaires comme la Suède, le Danemark ou l’Allemagne qui, par exemple, a vu l’écart de revenu entre les 10% les plus riches et les 10% les plus pauvres passer de 5 fois à 7-8 fois en 30 ans. En France la progression des inégalités semble plus modérée. On y constate notamment une augmentation plus faible des très hauts revenus : la part des revenus des 1% les plus riches </w:t>
      </w:r>
      <w:r w:rsidRPr="00B46889">
        <w:rPr>
          <w:rFonts w:ascii="Arial" w:hAnsi="Arial" w:cs="Arial"/>
          <w:sz w:val="22"/>
        </w:rPr>
        <w:lastRenderedPageBreak/>
        <w:t>n’est passée que de 8,2% à 8,9% entre 1990 et 2006, alors qu’elle a souvent doublé dans les pays anglophones. De plus en France la baisse de la durée du travail a touché l’ensemble des salariés, alors que dans d’autres pays elle a concerné essentiellement les moins payés. Enfin l’importance grandissante en France du travail féminin (4ème rang des pays de l’OCDE) a pu compenser la montée des écarts entre les salaires des hommes. Cette stabilité, apparente sur 30 ans, doit pourtant être relativisée : les inégalités ont baissé durant les années 1990, mais depuis elles évoluent lentement à la hausse.</w:t>
      </w:r>
    </w:p>
    <w:p w14:paraId="4B9EBC34" w14:textId="77777777" w:rsidR="00A658C7" w:rsidRDefault="00A658C7" w:rsidP="00A658C7">
      <w:pPr>
        <w:spacing w:before="120" w:after="120"/>
        <w:jc w:val="both"/>
        <w:rPr>
          <w:rFonts w:ascii="Arial" w:hAnsi="Arial" w:cs="Arial"/>
          <w:bCs/>
          <w:sz w:val="22"/>
          <w:szCs w:val="22"/>
        </w:rPr>
      </w:pPr>
      <w:r>
        <w:rPr>
          <w:rFonts w:ascii="Arial" w:hAnsi="Arial" w:cs="Arial"/>
          <w:bCs/>
          <w:sz w:val="22"/>
          <w:szCs w:val="22"/>
        </w:rPr>
        <w:t>Dans les pays développés, la montée des inégalités sous l’effet de la progression rapide des revenus du capital et de la stagnation des revenus du travail peu qualifié s’est accompagnée d’une diminution de la redistribution opérée par la fiscalité dans une majorité de pays. Ceci a conduit à une progression beaucoup plus rapide des revenus des classes de population les plus riches (95</w:t>
      </w:r>
      <w:r w:rsidRPr="005870ED">
        <w:rPr>
          <w:rFonts w:ascii="Arial" w:hAnsi="Arial" w:cs="Arial"/>
          <w:bCs/>
          <w:sz w:val="22"/>
          <w:szCs w:val="22"/>
          <w:vertAlign w:val="superscript"/>
        </w:rPr>
        <w:t>ème</w:t>
      </w:r>
      <w:r>
        <w:rPr>
          <w:rFonts w:ascii="Arial" w:hAnsi="Arial" w:cs="Arial"/>
          <w:bCs/>
          <w:sz w:val="22"/>
          <w:szCs w:val="22"/>
        </w:rPr>
        <w:t>, 90</w:t>
      </w:r>
      <w:r w:rsidRPr="005870ED">
        <w:rPr>
          <w:rFonts w:ascii="Arial" w:hAnsi="Arial" w:cs="Arial"/>
          <w:bCs/>
          <w:sz w:val="22"/>
          <w:szCs w:val="22"/>
          <w:vertAlign w:val="superscript"/>
        </w:rPr>
        <w:t>ème</w:t>
      </w:r>
      <w:r>
        <w:rPr>
          <w:rFonts w:ascii="Arial" w:hAnsi="Arial" w:cs="Arial"/>
          <w:bCs/>
          <w:sz w:val="22"/>
          <w:szCs w:val="22"/>
        </w:rPr>
        <w:t xml:space="preserve"> et 80</w:t>
      </w:r>
      <w:r w:rsidRPr="005870ED">
        <w:rPr>
          <w:rFonts w:ascii="Arial" w:hAnsi="Arial" w:cs="Arial"/>
          <w:bCs/>
          <w:sz w:val="22"/>
          <w:szCs w:val="22"/>
          <w:vertAlign w:val="superscript"/>
        </w:rPr>
        <w:t>ème</w:t>
      </w:r>
      <w:r>
        <w:rPr>
          <w:rFonts w:ascii="Arial" w:hAnsi="Arial" w:cs="Arial"/>
          <w:bCs/>
          <w:sz w:val="22"/>
          <w:szCs w:val="22"/>
        </w:rPr>
        <w:t xml:space="preserve"> percentiles sur la Figure 12), et à une stagnation des revenus des classes de population les plus pauvres (10</w:t>
      </w:r>
      <w:r w:rsidRPr="00AF3A9E">
        <w:rPr>
          <w:rFonts w:ascii="Arial" w:hAnsi="Arial" w:cs="Arial"/>
          <w:bCs/>
          <w:sz w:val="22"/>
          <w:szCs w:val="22"/>
          <w:vertAlign w:val="superscript"/>
        </w:rPr>
        <w:t>ème</w:t>
      </w:r>
      <w:r>
        <w:rPr>
          <w:rFonts w:ascii="Arial" w:hAnsi="Arial" w:cs="Arial"/>
          <w:bCs/>
          <w:sz w:val="22"/>
          <w:szCs w:val="22"/>
        </w:rPr>
        <w:t xml:space="preserve"> et 20</w:t>
      </w:r>
      <w:r w:rsidRPr="00AF3A9E">
        <w:rPr>
          <w:rFonts w:ascii="Arial" w:hAnsi="Arial" w:cs="Arial"/>
          <w:bCs/>
          <w:sz w:val="22"/>
          <w:szCs w:val="22"/>
          <w:vertAlign w:val="superscript"/>
        </w:rPr>
        <w:t>ème</w:t>
      </w:r>
      <w:r>
        <w:rPr>
          <w:rFonts w:ascii="Arial" w:hAnsi="Arial" w:cs="Arial"/>
          <w:bCs/>
          <w:sz w:val="22"/>
          <w:szCs w:val="22"/>
        </w:rPr>
        <w:t xml:space="preserve"> percentiles).</w:t>
      </w:r>
    </w:p>
    <w:p w14:paraId="23A6F2AE" w14:textId="77777777" w:rsidR="00A658C7" w:rsidRDefault="00A658C7" w:rsidP="00A658C7">
      <w:pPr>
        <w:spacing w:before="120" w:after="120"/>
        <w:jc w:val="both"/>
        <w:rPr>
          <w:rFonts w:ascii="Arial" w:hAnsi="Arial" w:cs="Arial"/>
          <w:bCs/>
          <w:sz w:val="22"/>
          <w:szCs w:val="22"/>
        </w:rPr>
      </w:pPr>
      <w:r>
        <w:rPr>
          <w:rFonts w:ascii="Arial" w:hAnsi="Arial" w:cs="Arial"/>
          <w:bCs/>
          <w:sz w:val="22"/>
          <w:szCs w:val="22"/>
        </w:rPr>
        <w:t>La Figure 11 montre très bien la remontée de la part des revenus reçus par les 1% les plus riches à partir des années 1980, c'est-à-dire au moment où le capitalisme s’est financiarisé. De façon non surprenante, cette évolution est beaucoup plus forte pour les capitalismes anglo-saxons (Etats-Unis et Royaume-Uni) qui ont fortement dérégulé et réduit la redistribution, que pour les capitalismes continentaux (Allemagne, France) ou socio-démocrates (Suède) qui ont maintenu des niveaux élevés de redistribution qui limitent la montée des inégalités associées aux différentiels de rémunération du travail et du capital.</w:t>
      </w:r>
    </w:p>
    <w:p w14:paraId="56B8C43E" w14:textId="77777777" w:rsidR="003245C2" w:rsidRDefault="003245C2" w:rsidP="00A658C7">
      <w:pPr>
        <w:spacing w:before="120" w:after="120"/>
        <w:jc w:val="both"/>
        <w:rPr>
          <w:rFonts w:ascii="Arial" w:hAnsi="Arial" w:cs="Arial"/>
          <w:b/>
          <w:bCs/>
          <w:sz w:val="22"/>
          <w:szCs w:val="22"/>
        </w:rPr>
      </w:pPr>
    </w:p>
    <w:p w14:paraId="094D5FDC" w14:textId="77777777" w:rsidR="00A658C7" w:rsidRPr="009609B7" w:rsidRDefault="00A658C7" w:rsidP="00A658C7">
      <w:pPr>
        <w:spacing w:before="120" w:after="120"/>
        <w:jc w:val="both"/>
        <w:rPr>
          <w:rFonts w:ascii="Arial" w:hAnsi="Arial" w:cs="Arial"/>
          <w:b/>
          <w:bCs/>
          <w:sz w:val="22"/>
          <w:szCs w:val="22"/>
        </w:rPr>
      </w:pPr>
      <w:r>
        <w:rPr>
          <w:rFonts w:ascii="Arial" w:hAnsi="Arial" w:cs="Arial"/>
          <w:b/>
          <w:bCs/>
          <w:sz w:val="22"/>
          <w:szCs w:val="22"/>
        </w:rPr>
        <w:t xml:space="preserve">Figure 12 : </w:t>
      </w:r>
      <w:r w:rsidRPr="009609B7">
        <w:rPr>
          <w:rFonts w:ascii="Arial" w:hAnsi="Arial" w:cs="Arial"/>
          <w:b/>
          <w:bCs/>
          <w:sz w:val="22"/>
          <w:szCs w:val="22"/>
        </w:rPr>
        <w:t>Evolution des revenus revenant aux différents percentiles</w:t>
      </w:r>
      <w:r>
        <w:rPr>
          <w:rFonts w:ascii="Arial" w:hAnsi="Arial" w:cs="Arial"/>
          <w:b/>
          <w:bCs/>
          <w:sz w:val="22"/>
          <w:szCs w:val="22"/>
        </w:rPr>
        <w:t xml:space="preserve"> aux Etats-Unis (1965-2005)</w:t>
      </w:r>
    </w:p>
    <w:p w14:paraId="78632C85" w14:textId="3F71A2E8" w:rsidR="00A658C7" w:rsidRDefault="000C7471" w:rsidP="00A658C7">
      <w:pPr>
        <w:spacing w:before="120" w:after="120"/>
        <w:jc w:val="both"/>
        <w:rPr>
          <w:rFonts w:ascii="Arial" w:hAnsi="Arial" w:cs="Arial"/>
          <w:bCs/>
          <w:sz w:val="22"/>
          <w:szCs w:val="22"/>
        </w:rPr>
      </w:pPr>
      <w:r>
        <w:rPr>
          <w:rFonts w:ascii="Arial" w:hAnsi="Arial" w:cs="Arial"/>
          <w:bCs/>
          <w:noProof/>
          <w:sz w:val="22"/>
          <w:szCs w:val="22"/>
        </w:rPr>
        <w:drawing>
          <wp:inline distT="0" distB="0" distL="0" distR="0" wp14:anchorId="7ED056E7" wp14:editId="0468B197">
            <wp:extent cx="5624830" cy="2254250"/>
            <wp:effectExtent l="0" t="0" r="0" b="635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624830" cy="2254250"/>
                    </a:xfrm>
                    <a:prstGeom prst="rect">
                      <a:avLst/>
                    </a:prstGeom>
                    <a:noFill/>
                    <a:ln>
                      <a:noFill/>
                    </a:ln>
                  </pic:spPr>
                </pic:pic>
              </a:graphicData>
            </a:graphic>
          </wp:inline>
        </w:drawing>
      </w:r>
    </w:p>
    <w:p w14:paraId="0FAFF3F7" w14:textId="77777777" w:rsidR="00A658C7" w:rsidRPr="0061365D" w:rsidRDefault="00A658C7" w:rsidP="00A658C7">
      <w:pPr>
        <w:spacing w:before="120" w:after="120"/>
        <w:jc w:val="both"/>
        <w:rPr>
          <w:rFonts w:ascii="Verdana" w:hAnsi="Verdana"/>
          <w:bCs/>
          <w:sz w:val="22"/>
          <w:szCs w:val="22"/>
        </w:rPr>
      </w:pPr>
    </w:p>
    <w:p w14:paraId="6C2EF1C4" w14:textId="77777777" w:rsidR="008B0E46" w:rsidRPr="00B46889" w:rsidRDefault="008B0E46" w:rsidP="008B0E46">
      <w:pPr>
        <w:spacing w:before="120" w:after="120"/>
        <w:jc w:val="both"/>
        <w:rPr>
          <w:rFonts w:ascii="Verdana" w:hAnsi="Verdana"/>
          <w:bCs/>
          <w:sz w:val="22"/>
          <w:szCs w:val="22"/>
        </w:rPr>
      </w:pPr>
      <w:r w:rsidRPr="00B46889">
        <w:rPr>
          <w:rFonts w:ascii="Arial" w:hAnsi="Arial" w:cs="Arial"/>
          <w:sz w:val="22"/>
        </w:rPr>
        <w:t xml:space="preserve">Face à cette situation, l’OCDE préconise d’abord de favoriser l’accès à l’emploi par une politique éducative permettant de hausser le niveau des qualifications. L’organisation propose également de "rechercher une meilleure discipline fiscale" (suppression des allégements fiscaux et réévaluation du rôle de l’impôt vis-à-vis de l’ensemble des formes de patrimoine). </w:t>
      </w:r>
      <w:r w:rsidR="00A658C7">
        <w:rPr>
          <w:rFonts w:ascii="Arial" w:hAnsi="Arial" w:cs="Arial"/>
          <w:sz w:val="22"/>
        </w:rPr>
        <w:t>Thomas Piketty propose dans son livre le capital au 21</w:t>
      </w:r>
      <w:r w:rsidR="00A658C7" w:rsidRPr="00A658C7">
        <w:rPr>
          <w:rFonts w:ascii="Arial" w:hAnsi="Arial" w:cs="Arial"/>
          <w:sz w:val="22"/>
          <w:vertAlign w:val="superscript"/>
        </w:rPr>
        <w:t>ème</w:t>
      </w:r>
      <w:r w:rsidR="00A658C7">
        <w:rPr>
          <w:rFonts w:ascii="Arial" w:hAnsi="Arial" w:cs="Arial"/>
          <w:sz w:val="22"/>
        </w:rPr>
        <w:t xml:space="preserve"> siècle de relever le niveau de la fiscalité sur les patrimoines dont la croissance et les revenus qu’ils génèrent, d’après lui, la source principale de retour des inégalités mondiales. </w:t>
      </w:r>
      <w:r w:rsidRPr="00B46889">
        <w:rPr>
          <w:rFonts w:ascii="Arial" w:hAnsi="Arial" w:cs="Arial"/>
          <w:sz w:val="22"/>
        </w:rPr>
        <w:t>Enfin le maintien des prestations sociales à un bon niveau est considéré comme indispensable, leur trop faible progression ayant fortement contribué à l’augmentation des inégalités.</w:t>
      </w:r>
    </w:p>
    <w:p w14:paraId="5FFDDE64" w14:textId="77777777" w:rsidR="008B0E46" w:rsidRPr="00DD41BA" w:rsidRDefault="008B0E46" w:rsidP="008B0E46">
      <w:pPr>
        <w:rPr>
          <w:rFonts w:ascii="Verdana" w:hAnsi="Verdana"/>
          <w:sz w:val="22"/>
          <w:szCs w:val="22"/>
        </w:rPr>
      </w:pPr>
    </w:p>
    <w:p w14:paraId="29499BA4" w14:textId="77777777" w:rsidR="008B0E46" w:rsidRDefault="008B0E46" w:rsidP="008B0E46">
      <w:pPr>
        <w:jc w:val="both"/>
        <w:rPr>
          <w:rFonts w:ascii="Verdana" w:hAnsi="Verdana"/>
          <w:b/>
          <w:bCs/>
          <w:sz w:val="22"/>
          <w:szCs w:val="22"/>
        </w:rPr>
      </w:pPr>
    </w:p>
    <w:p w14:paraId="07E498FB" w14:textId="77777777" w:rsidR="008B0E46" w:rsidRDefault="008B0E46" w:rsidP="008B0E46">
      <w:pPr>
        <w:jc w:val="both"/>
        <w:rPr>
          <w:rFonts w:ascii="Verdana" w:hAnsi="Verdana"/>
          <w:b/>
          <w:bCs/>
          <w:sz w:val="22"/>
          <w:szCs w:val="22"/>
        </w:rPr>
      </w:pPr>
    </w:p>
    <w:p w14:paraId="67CD83B6" w14:textId="77777777" w:rsidR="008B0E46" w:rsidRDefault="008B0E46" w:rsidP="008B0E46">
      <w:pPr>
        <w:jc w:val="both"/>
        <w:rPr>
          <w:rFonts w:ascii="Verdana" w:hAnsi="Verdana"/>
          <w:b/>
          <w:bCs/>
          <w:sz w:val="22"/>
          <w:szCs w:val="22"/>
        </w:rPr>
      </w:pPr>
      <w:r>
        <w:rPr>
          <w:rFonts w:ascii="Verdana" w:hAnsi="Verdana"/>
          <w:b/>
          <w:bCs/>
          <w:sz w:val="22"/>
          <w:szCs w:val="22"/>
        </w:rPr>
        <w:br w:type="page"/>
      </w:r>
    </w:p>
    <w:p w14:paraId="5242D59A" w14:textId="77777777" w:rsidR="008B0E46" w:rsidRPr="00DD41BA" w:rsidRDefault="008B0E46" w:rsidP="008B0E46">
      <w:pPr>
        <w:spacing w:before="120" w:after="120"/>
        <w:jc w:val="both"/>
        <w:rPr>
          <w:rFonts w:ascii="Arial" w:hAnsi="Arial" w:cs="Arial"/>
          <w:sz w:val="22"/>
          <w:szCs w:val="22"/>
        </w:rPr>
      </w:pPr>
    </w:p>
    <w:sectPr w:rsidR="008B0E46" w:rsidRPr="00DD41B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A10006FF" w:usb1="4000205B" w:usb2="00000010" w:usb3="00000000" w:csb0="0000019F" w:csb1="00000000"/>
  </w:font>
  <w:font w:name="Tahoma">
    <w:panose1 w:val="020B0604030504040204"/>
    <w:charset w:val="00"/>
    <w:family w:val="auto"/>
    <w:pitch w:val="variable"/>
    <w:sig w:usb0="E1002EFF" w:usb1="C000605B" w:usb2="00000029" w:usb3="00000000" w:csb0="000101FF" w:csb1="00000000"/>
  </w:font>
  <w:font w:name="Times">
    <w:panose1 w:val="02000500000000000000"/>
    <w:charset w:val="00"/>
    <w:family w:val="auto"/>
    <w:pitch w:val="variable"/>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 w:name="Calibri">
    <w:altName w:val="Calibri"/>
    <w:panose1 w:val="020F0502020204030204"/>
    <w:charset w:val="00"/>
    <w:family w:val="auto"/>
    <w:pitch w:val="variable"/>
    <w:sig w:usb0="E00002FF" w:usb1="4000ACFF" w:usb2="00000001"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C1BCE45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2B395E"/>
    <w:multiLevelType w:val="hybridMultilevel"/>
    <w:tmpl w:val="954E6A4A"/>
    <w:lvl w:ilvl="0" w:tplc="6BEA47E6">
      <w:start w:val="1"/>
      <w:numFmt w:val="lowerLetter"/>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6E82DD7"/>
    <w:multiLevelType w:val="hybridMultilevel"/>
    <w:tmpl w:val="9F1A2E20"/>
    <w:lvl w:ilvl="0" w:tplc="040C000F">
      <w:start w:val="1"/>
      <w:numFmt w:val="decimal"/>
      <w:lvlText w:val="%1."/>
      <w:lvlJc w:val="left"/>
      <w:pPr>
        <w:ind w:left="422" w:hanging="360"/>
      </w:pPr>
      <w:rPr>
        <w:rFonts w:hint="default"/>
      </w:rPr>
    </w:lvl>
    <w:lvl w:ilvl="1" w:tplc="040C0003">
      <w:start w:val="1"/>
      <w:numFmt w:val="bullet"/>
      <w:lvlText w:val="o"/>
      <w:lvlJc w:val="left"/>
      <w:pPr>
        <w:ind w:left="1142" w:hanging="360"/>
      </w:pPr>
      <w:rPr>
        <w:rFonts w:ascii="Courier New" w:hAnsi="Courier New" w:cs="Arial" w:hint="default"/>
      </w:rPr>
    </w:lvl>
    <w:lvl w:ilvl="2" w:tplc="040C0005" w:tentative="1">
      <w:start w:val="1"/>
      <w:numFmt w:val="bullet"/>
      <w:lvlText w:val=""/>
      <w:lvlJc w:val="left"/>
      <w:pPr>
        <w:ind w:left="1862" w:hanging="360"/>
      </w:pPr>
      <w:rPr>
        <w:rFonts w:ascii="Wingdings" w:hAnsi="Wingdings" w:hint="default"/>
      </w:rPr>
    </w:lvl>
    <w:lvl w:ilvl="3" w:tplc="040C0001" w:tentative="1">
      <w:start w:val="1"/>
      <w:numFmt w:val="bullet"/>
      <w:lvlText w:val=""/>
      <w:lvlJc w:val="left"/>
      <w:pPr>
        <w:ind w:left="2582" w:hanging="360"/>
      </w:pPr>
      <w:rPr>
        <w:rFonts w:ascii="Symbol" w:hAnsi="Symbol" w:hint="default"/>
      </w:rPr>
    </w:lvl>
    <w:lvl w:ilvl="4" w:tplc="040C0003" w:tentative="1">
      <w:start w:val="1"/>
      <w:numFmt w:val="bullet"/>
      <w:lvlText w:val="o"/>
      <w:lvlJc w:val="left"/>
      <w:pPr>
        <w:ind w:left="3302" w:hanging="360"/>
      </w:pPr>
      <w:rPr>
        <w:rFonts w:ascii="Courier New" w:hAnsi="Courier New" w:cs="Arial" w:hint="default"/>
      </w:rPr>
    </w:lvl>
    <w:lvl w:ilvl="5" w:tplc="040C0005" w:tentative="1">
      <w:start w:val="1"/>
      <w:numFmt w:val="bullet"/>
      <w:lvlText w:val=""/>
      <w:lvlJc w:val="left"/>
      <w:pPr>
        <w:ind w:left="4022" w:hanging="360"/>
      </w:pPr>
      <w:rPr>
        <w:rFonts w:ascii="Wingdings" w:hAnsi="Wingdings" w:hint="default"/>
      </w:rPr>
    </w:lvl>
    <w:lvl w:ilvl="6" w:tplc="040C0001" w:tentative="1">
      <w:start w:val="1"/>
      <w:numFmt w:val="bullet"/>
      <w:lvlText w:val=""/>
      <w:lvlJc w:val="left"/>
      <w:pPr>
        <w:ind w:left="4742" w:hanging="360"/>
      </w:pPr>
      <w:rPr>
        <w:rFonts w:ascii="Symbol" w:hAnsi="Symbol" w:hint="default"/>
      </w:rPr>
    </w:lvl>
    <w:lvl w:ilvl="7" w:tplc="040C0003" w:tentative="1">
      <w:start w:val="1"/>
      <w:numFmt w:val="bullet"/>
      <w:lvlText w:val="o"/>
      <w:lvlJc w:val="left"/>
      <w:pPr>
        <w:ind w:left="5462" w:hanging="360"/>
      </w:pPr>
      <w:rPr>
        <w:rFonts w:ascii="Courier New" w:hAnsi="Courier New" w:cs="Arial" w:hint="default"/>
      </w:rPr>
    </w:lvl>
    <w:lvl w:ilvl="8" w:tplc="040C0005" w:tentative="1">
      <w:start w:val="1"/>
      <w:numFmt w:val="bullet"/>
      <w:lvlText w:val=""/>
      <w:lvlJc w:val="left"/>
      <w:pPr>
        <w:ind w:left="6182" w:hanging="360"/>
      </w:pPr>
      <w:rPr>
        <w:rFonts w:ascii="Wingdings" w:hAnsi="Wingdings" w:hint="default"/>
      </w:rPr>
    </w:lvl>
  </w:abstractNum>
  <w:abstractNum w:abstractNumId="3">
    <w:nsid w:val="08973A89"/>
    <w:multiLevelType w:val="hybridMultilevel"/>
    <w:tmpl w:val="BB3C930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nsid w:val="0A784EC3"/>
    <w:multiLevelType w:val="hybridMultilevel"/>
    <w:tmpl w:val="89587D5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0C6B2523"/>
    <w:multiLevelType w:val="hybridMultilevel"/>
    <w:tmpl w:val="6278FFA0"/>
    <w:lvl w:ilvl="0" w:tplc="6F048D76">
      <w:start w:val="1"/>
      <w:numFmt w:val="lowerLetter"/>
      <w:lvlText w:val="(%1)"/>
      <w:lvlJc w:val="left"/>
      <w:pPr>
        <w:ind w:left="1440" w:hanging="72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6">
    <w:nsid w:val="140F3830"/>
    <w:multiLevelType w:val="hybridMultilevel"/>
    <w:tmpl w:val="910608A6"/>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1AEA29BC"/>
    <w:multiLevelType w:val="hybridMultilevel"/>
    <w:tmpl w:val="75E4350C"/>
    <w:lvl w:ilvl="0" w:tplc="9A2C3284">
      <w:start w:val="1"/>
      <w:numFmt w:val="decimal"/>
      <w:lvlText w:val="%1."/>
      <w:lvlJc w:val="left"/>
      <w:pPr>
        <w:ind w:left="720" w:hanging="360"/>
      </w:pPr>
      <w:rPr>
        <w:rFonts w:ascii="Verdana" w:hAnsi="Verdana" w:cs="Times New Roman" w:hint="default"/>
        <w:sz w:val="21"/>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1DFE4D76"/>
    <w:multiLevelType w:val="hybridMultilevel"/>
    <w:tmpl w:val="00ECB880"/>
    <w:lvl w:ilvl="0" w:tplc="040C000F">
      <w:start w:val="1"/>
      <w:numFmt w:val="decimal"/>
      <w:lvlText w:val="%1."/>
      <w:lvlJc w:val="left"/>
      <w:pPr>
        <w:ind w:left="422" w:hanging="360"/>
      </w:pPr>
      <w:rPr>
        <w:rFonts w:hint="default"/>
      </w:rPr>
    </w:lvl>
    <w:lvl w:ilvl="1" w:tplc="040C0003">
      <w:start w:val="1"/>
      <w:numFmt w:val="bullet"/>
      <w:lvlText w:val="o"/>
      <w:lvlJc w:val="left"/>
      <w:pPr>
        <w:ind w:left="1142" w:hanging="360"/>
      </w:pPr>
      <w:rPr>
        <w:rFonts w:ascii="Courier New" w:hAnsi="Courier New" w:cs="Arial" w:hint="default"/>
      </w:rPr>
    </w:lvl>
    <w:lvl w:ilvl="2" w:tplc="040C0005" w:tentative="1">
      <w:start w:val="1"/>
      <w:numFmt w:val="bullet"/>
      <w:lvlText w:val=""/>
      <w:lvlJc w:val="left"/>
      <w:pPr>
        <w:ind w:left="1862" w:hanging="360"/>
      </w:pPr>
      <w:rPr>
        <w:rFonts w:ascii="Wingdings" w:hAnsi="Wingdings" w:hint="default"/>
      </w:rPr>
    </w:lvl>
    <w:lvl w:ilvl="3" w:tplc="040C0001" w:tentative="1">
      <w:start w:val="1"/>
      <w:numFmt w:val="bullet"/>
      <w:lvlText w:val=""/>
      <w:lvlJc w:val="left"/>
      <w:pPr>
        <w:ind w:left="2582" w:hanging="360"/>
      </w:pPr>
      <w:rPr>
        <w:rFonts w:ascii="Symbol" w:hAnsi="Symbol" w:hint="default"/>
      </w:rPr>
    </w:lvl>
    <w:lvl w:ilvl="4" w:tplc="040C0003" w:tentative="1">
      <w:start w:val="1"/>
      <w:numFmt w:val="bullet"/>
      <w:lvlText w:val="o"/>
      <w:lvlJc w:val="left"/>
      <w:pPr>
        <w:ind w:left="3302" w:hanging="360"/>
      </w:pPr>
      <w:rPr>
        <w:rFonts w:ascii="Courier New" w:hAnsi="Courier New" w:cs="Arial" w:hint="default"/>
      </w:rPr>
    </w:lvl>
    <w:lvl w:ilvl="5" w:tplc="040C0005" w:tentative="1">
      <w:start w:val="1"/>
      <w:numFmt w:val="bullet"/>
      <w:lvlText w:val=""/>
      <w:lvlJc w:val="left"/>
      <w:pPr>
        <w:ind w:left="4022" w:hanging="360"/>
      </w:pPr>
      <w:rPr>
        <w:rFonts w:ascii="Wingdings" w:hAnsi="Wingdings" w:hint="default"/>
      </w:rPr>
    </w:lvl>
    <w:lvl w:ilvl="6" w:tplc="040C0001" w:tentative="1">
      <w:start w:val="1"/>
      <w:numFmt w:val="bullet"/>
      <w:lvlText w:val=""/>
      <w:lvlJc w:val="left"/>
      <w:pPr>
        <w:ind w:left="4742" w:hanging="360"/>
      </w:pPr>
      <w:rPr>
        <w:rFonts w:ascii="Symbol" w:hAnsi="Symbol" w:hint="default"/>
      </w:rPr>
    </w:lvl>
    <w:lvl w:ilvl="7" w:tplc="040C0003" w:tentative="1">
      <w:start w:val="1"/>
      <w:numFmt w:val="bullet"/>
      <w:lvlText w:val="o"/>
      <w:lvlJc w:val="left"/>
      <w:pPr>
        <w:ind w:left="5462" w:hanging="360"/>
      </w:pPr>
      <w:rPr>
        <w:rFonts w:ascii="Courier New" w:hAnsi="Courier New" w:cs="Arial" w:hint="default"/>
      </w:rPr>
    </w:lvl>
    <w:lvl w:ilvl="8" w:tplc="040C0005" w:tentative="1">
      <w:start w:val="1"/>
      <w:numFmt w:val="bullet"/>
      <w:lvlText w:val=""/>
      <w:lvlJc w:val="left"/>
      <w:pPr>
        <w:ind w:left="6182" w:hanging="360"/>
      </w:pPr>
      <w:rPr>
        <w:rFonts w:ascii="Wingdings" w:hAnsi="Wingdings" w:hint="default"/>
      </w:rPr>
    </w:lvl>
  </w:abstractNum>
  <w:abstractNum w:abstractNumId="9">
    <w:nsid w:val="223A548A"/>
    <w:multiLevelType w:val="hybridMultilevel"/>
    <w:tmpl w:val="BA5848A6"/>
    <w:lvl w:ilvl="0" w:tplc="040C000F">
      <w:start w:val="1"/>
      <w:numFmt w:val="decimal"/>
      <w:lvlText w:val="%1."/>
      <w:lvlJc w:val="left"/>
      <w:pPr>
        <w:ind w:left="422" w:hanging="360"/>
      </w:pPr>
      <w:rPr>
        <w:rFonts w:hint="default"/>
      </w:rPr>
    </w:lvl>
    <w:lvl w:ilvl="1" w:tplc="040C000D">
      <w:start w:val="1"/>
      <w:numFmt w:val="bullet"/>
      <w:lvlText w:val=""/>
      <w:lvlJc w:val="left"/>
      <w:pPr>
        <w:ind w:left="1142" w:hanging="360"/>
      </w:pPr>
      <w:rPr>
        <w:rFonts w:ascii="Wingdings" w:hAnsi="Wingdings" w:hint="default"/>
      </w:rPr>
    </w:lvl>
    <w:lvl w:ilvl="2" w:tplc="3454EE38">
      <w:start w:val="1"/>
      <w:numFmt w:val="upperLetter"/>
      <w:lvlText w:val="%3."/>
      <w:lvlJc w:val="left"/>
      <w:pPr>
        <w:ind w:left="1862" w:hanging="360"/>
      </w:pPr>
      <w:rPr>
        <w:rFonts w:ascii="Verdana" w:hAnsi="Verdana" w:cs="Times New Roman" w:hint="default"/>
        <w:sz w:val="22"/>
      </w:rPr>
    </w:lvl>
    <w:lvl w:ilvl="3" w:tplc="97681F54">
      <w:start w:val="1"/>
      <w:numFmt w:val="lowerLetter"/>
      <w:lvlText w:val="%4)"/>
      <w:lvlJc w:val="left"/>
      <w:pPr>
        <w:ind w:left="2582" w:hanging="360"/>
      </w:pPr>
      <w:rPr>
        <w:rFonts w:ascii="Verdana" w:hAnsi="Verdana" w:cs="Times New Roman" w:hint="default"/>
        <w:sz w:val="22"/>
      </w:rPr>
    </w:lvl>
    <w:lvl w:ilvl="4" w:tplc="040C0003" w:tentative="1">
      <w:start w:val="1"/>
      <w:numFmt w:val="bullet"/>
      <w:lvlText w:val="o"/>
      <w:lvlJc w:val="left"/>
      <w:pPr>
        <w:ind w:left="3302" w:hanging="360"/>
      </w:pPr>
      <w:rPr>
        <w:rFonts w:ascii="Courier New" w:hAnsi="Courier New" w:cs="Arial" w:hint="default"/>
      </w:rPr>
    </w:lvl>
    <w:lvl w:ilvl="5" w:tplc="040C0005" w:tentative="1">
      <w:start w:val="1"/>
      <w:numFmt w:val="bullet"/>
      <w:lvlText w:val=""/>
      <w:lvlJc w:val="left"/>
      <w:pPr>
        <w:ind w:left="4022" w:hanging="360"/>
      </w:pPr>
      <w:rPr>
        <w:rFonts w:ascii="Wingdings" w:hAnsi="Wingdings" w:hint="default"/>
      </w:rPr>
    </w:lvl>
    <w:lvl w:ilvl="6" w:tplc="040C0001" w:tentative="1">
      <w:start w:val="1"/>
      <w:numFmt w:val="bullet"/>
      <w:lvlText w:val=""/>
      <w:lvlJc w:val="left"/>
      <w:pPr>
        <w:ind w:left="4742" w:hanging="360"/>
      </w:pPr>
      <w:rPr>
        <w:rFonts w:ascii="Symbol" w:hAnsi="Symbol" w:hint="default"/>
      </w:rPr>
    </w:lvl>
    <w:lvl w:ilvl="7" w:tplc="040C0003" w:tentative="1">
      <w:start w:val="1"/>
      <w:numFmt w:val="bullet"/>
      <w:lvlText w:val="o"/>
      <w:lvlJc w:val="left"/>
      <w:pPr>
        <w:ind w:left="5462" w:hanging="360"/>
      </w:pPr>
      <w:rPr>
        <w:rFonts w:ascii="Courier New" w:hAnsi="Courier New" w:cs="Arial" w:hint="default"/>
      </w:rPr>
    </w:lvl>
    <w:lvl w:ilvl="8" w:tplc="040C0005" w:tentative="1">
      <w:start w:val="1"/>
      <w:numFmt w:val="bullet"/>
      <w:lvlText w:val=""/>
      <w:lvlJc w:val="left"/>
      <w:pPr>
        <w:ind w:left="6182" w:hanging="360"/>
      </w:pPr>
      <w:rPr>
        <w:rFonts w:ascii="Wingdings" w:hAnsi="Wingdings" w:hint="default"/>
      </w:rPr>
    </w:lvl>
  </w:abstractNum>
  <w:abstractNum w:abstractNumId="10">
    <w:nsid w:val="23A826F3"/>
    <w:multiLevelType w:val="hybridMultilevel"/>
    <w:tmpl w:val="9B161D8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23AD4A16"/>
    <w:multiLevelType w:val="hybridMultilevel"/>
    <w:tmpl w:val="E02A495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nsid w:val="26997CBF"/>
    <w:multiLevelType w:val="hybridMultilevel"/>
    <w:tmpl w:val="FC749C6A"/>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nsid w:val="28561ACD"/>
    <w:multiLevelType w:val="hybridMultilevel"/>
    <w:tmpl w:val="A52C2C6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nsid w:val="2C87717D"/>
    <w:multiLevelType w:val="hybridMultilevel"/>
    <w:tmpl w:val="82F08FD0"/>
    <w:lvl w:ilvl="0" w:tplc="040C0017">
      <w:start w:val="2"/>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374109B9"/>
    <w:multiLevelType w:val="hybridMultilevel"/>
    <w:tmpl w:val="3970E642"/>
    <w:lvl w:ilvl="0" w:tplc="040C0001">
      <w:start w:val="1"/>
      <w:numFmt w:val="bullet"/>
      <w:lvlText w:val=""/>
      <w:lvlJc w:val="left"/>
      <w:pPr>
        <w:ind w:left="1080" w:hanging="720"/>
      </w:pPr>
      <w:rPr>
        <w:rFonts w:ascii="Symbol" w:hAnsi="Symbo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37A735B7"/>
    <w:multiLevelType w:val="hybridMultilevel"/>
    <w:tmpl w:val="C744FB20"/>
    <w:lvl w:ilvl="0" w:tplc="98B4D8D4">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37CF3983"/>
    <w:multiLevelType w:val="hybridMultilevel"/>
    <w:tmpl w:val="6278FFA0"/>
    <w:lvl w:ilvl="0" w:tplc="6F048D76">
      <w:start w:val="1"/>
      <w:numFmt w:val="lowerLetter"/>
      <w:lvlText w:val="(%1)"/>
      <w:lvlJc w:val="left"/>
      <w:pPr>
        <w:ind w:left="862" w:hanging="720"/>
      </w:pPr>
      <w:rPr>
        <w:rFonts w:hint="default"/>
      </w:r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18">
    <w:nsid w:val="3BC0669B"/>
    <w:multiLevelType w:val="hybridMultilevel"/>
    <w:tmpl w:val="0A20DC2C"/>
    <w:lvl w:ilvl="0" w:tplc="040C0001">
      <w:start w:val="1"/>
      <w:numFmt w:val="bullet"/>
      <w:lvlText w:val=""/>
      <w:lvlJc w:val="left"/>
      <w:pPr>
        <w:tabs>
          <w:tab w:val="num" w:pos="720"/>
        </w:tabs>
        <w:ind w:left="72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Symbol"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9">
    <w:nsid w:val="3BC52560"/>
    <w:multiLevelType w:val="hybridMultilevel"/>
    <w:tmpl w:val="777E995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4058378C"/>
    <w:multiLevelType w:val="hybridMultilevel"/>
    <w:tmpl w:val="50927F9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40A53AFA"/>
    <w:multiLevelType w:val="hybridMultilevel"/>
    <w:tmpl w:val="ABDA4954"/>
    <w:lvl w:ilvl="0" w:tplc="040C0001">
      <w:start w:val="1"/>
      <w:numFmt w:val="bullet"/>
      <w:lvlText w:val=""/>
      <w:lvlJc w:val="left"/>
      <w:pPr>
        <w:tabs>
          <w:tab w:val="num" w:pos="780"/>
        </w:tabs>
        <w:ind w:left="780" w:hanging="360"/>
      </w:pPr>
      <w:rPr>
        <w:rFonts w:ascii="Symbol" w:hAnsi="Symbol" w:hint="default"/>
      </w:rPr>
    </w:lvl>
    <w:lvl w:ilvl="1" w:tplc="040C0003">
      <w:start w:val="1"/>
      <w:numFmt w:val="bullet"/>
      <w:lvlText w:val="o"/>
      <w:lvlJc w:val="left"/>
      <w:pPr>
        <w:tabs>
          <w:tab w:val="num" w:pos="1500"/>
        </w:tabs>
        <w:ind w:left="1500" w:hanging="360"/>
      </w:pPr>
      <w:rPr>
        <w:rFonts w:ascii="Courier New" w:hAnsi="Courier New" w:cs="Symbol" w:hint="default"/>
      </w:rPr>
    </w:lvl>
    <w:lvl w:ilvl="2" w:tplc="040C0005">
      <w:start w:val="1"/>
      <w:numFmt w:val="bullet"/>
      <w:lvlText w:val=""/>
      <w:lvlJc w:val="left"/>
      <w:pPr>
        <w:tabs>
          <w:tab w:val="num" w:pos="2220"/>
        </w:tabs>
        <w:ind w:left="2220" w:hanging="360"/>
      </w:pPr>
      <w:rPr>
        <w:rFonts w:ascii="Wingdings" w:hAnsi="Wingdings" w:hint="default"/>
      </w:rPr>
    </w:lvl>
    <w:lvl w:ilvl="3" w:tplc="040C0001" w:tentative="1">
      <w:start w:val="1"/>
      <w:numFmt w:val="bullet"/>
      <w:lvlText w:val=""/>
      <w:lvlJc w:val="left"/>
      <w:pPr>
        <w:tabs>
          <w:tab w:val="num" w:pos="2940"/>
        </w:tabs>
        <w:ind w:left="2940" w:hanging="360"/>
      </w:pPr>
      <w:rPr>
        <w:rFonts w:ascii="Symbol" w:hAnsi="Symbol" w:hint="default"/>
      </w:rPr>
    </w:lvl>
    <w:lvl w:ilvl="4" w:tplc="040C0003" w:tentative="1">
      <w:start w:val="1"/>
      <w:numFmt w:val="bullet"/>
      <w:lvlText w:val="o"/>
      <w:lvlJc w:val="left"/>
      <w:pPr>
        <w:tabs>
          <w:tab w:val="num" w:pos="3660"/>
        </w:tabs>
        <w:ind w:left="3660" w:hanging="360"/>
      </w:pPr>
      <w:rPr>
        <w:rFonts w:ascii="Courier New" w:hAnsi="Courier New" w:cs="Symbol" w:hint="default"/>
      </w:rPr>
    </w:lvl>
    <w:lvl w:ilvl="5" w:tplc="040C0005" w:tentative="1">
      <w:start w:val="1"/>
      <w:numFmt w:val="bullet"/>
      <w:lvlText w:val=""/>
      <w:lvlJc w:val="left"/>
      <w:pPr>
        <w:tabs>
          <w:tab w:val="num" w:pos="4380"/>
        </w:tabs>
        <w:ind w:left="4380" w:hanging="360"/>
      </w:pPr>
      <w:rPr>
        <w:rFonts w:ascii="Wingdings" w:hAnsi="Wingdings" w:hint="default"/>
      </w:rPr>
    </w:lvl>
    <w:lvl w:ilvl="6" w:tplc="040C0001" w:tentative="1">
      <w:start w:val="1"/>
      <w:numFmt w:val="bullet"/>
      <w:lvlText w:val=""/>
      <w:lvlJc w:val="left"/>
      <w:pPr>
        <w:tabs>
          <w:tab w:val="num" w:pos="5100"/>
        </w:tabs>
        <w:ind w:left="5100" w:hanging="360"/>
      </w:pPr>
      <w:rPr>
        <w:rFonts w:ascii="Symbol" w:hAnsi="Symbol" w:hint="default"/>
      </w:rPr>
    </w:lvl>
    <w:lvl w:ilvl="7" w:tplc="040C0003" w:tentative="1">
      <w:start w:val="1"/>
      <w:numFmt w:val="bullet"/>
      <w:lvlText w:val="o"/>
      <w:lvlJc w:val="left"/>
      <w:pPr>
        <w:tabs>
          <w:tab w:val="num" w:pos="5820"/>
        </w:tabs>
        <w:ind w:left="5820" w:hanging="360"/>
      </w:pPr>
      <w:rPr>
        <w:rFonts w:ascii="Courier New" w:hAnsi="Courier New" w:cs="Symbol" w:hint="default"/>
      </w:rPr>
    </w:lvl>
    <w:lvl w:ilvl="8" w:tplc="040C0005" w:tentative="1">
      <w:start w:val="1"/>
      <w:numFmt w:val="bullet"/>
      <w:lvlText w:val=""/>
      <w:lvlJc w:val="left"/>
      <w:pPr>
        <w:tabs>
          <w:tab w:val="num" w:pos="6540"/>
        </w:tabs>
        <w:ind w:left="6540" w:hanging="360"/>
      </w:pPr>
      <w:rPr>
        <w:rFonts w:ascii="Wingdings" w:hAnsi="Wingdings" w:hint="default"/>
      </w:rPr>
    </w:lvl>
  </w:abstractNum>
  <w:abstractNum w:abstractNumId="22">
    <w:nsid w:val="443320A1"/>
    <w:multiLevelType w:val="hybridMultilevel"/>
    <w:tmpl w:val="D750990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470B451C"/>
    <w:multiLevelType w:val="hybridMultilevel"/>
    <w:tmpl w:val="03CE5598"/>
    <w:lvl w:ilvl="0" w:tplc="040C0001">
      <w:start w:val="1"/>
      <w:numFmt w:val="bullet"/>
      <w:lvlText w:val=""/>
      <w:lvlJc w:val="left"/>
      <w:pPr>
        <w:tabs>
          <w:tab w:val="num" w:pos="782"/>
        </w:tabs>
        <w:ind w:left="782" w:hanging="360"/>
      </w:pPr>
      <w:rPr>
        <w:rFonts w:ascii="Symbol" w:hAnsi="Symbol" w:hint="default"/>
      </w:rPr>
    </w:lvl>
    <w:lvl w:ilvl="1" w:tplc="040C0003" w:tentative="1">
      <w:start w:val="1"/>
      <w:numFmt w:val="bullet"/>
      <w:lvlText w:val="o"/>
      <w:lvlJc w:val="left"/>
      <w:pPr>
        <w:tabs>
          <w:tab w:val="num" w:pos="1502"/>
        </w:tabs>
        <w:ind w:left="1502" w:hanging="360"/>
      </w:pPr>
      <w:rPr>
        <w:rFonts w:ascii="Courier New" w:hAnsi="Courier New" w:cs="Symbol" w:hint="default"/>
      </w:rPr>
    </w:lvl>
    <w:lvl w:ilvl="2" w:tplc="040C0005" w:tentative="1">
      <w:start w:val="1"/>
      <w:numFmt w:val="bullet"/>
      <w:lvlText w:val=""/>
      <w:lvlJc w:val="left"/>
      <w:pPr>
        <w:tabs>
          <w:tab w:val="num" w:pos="2222"/>
        </w:tabs>
        <w:ind w:left="2222" w:hanging="360"/>
      </w:pPr>
      <w:rPr>
        <w:rFonts w:ascii="Wingdings" w:hAnsi="Wingdings" w:hint="default"/>
      </w:rPr>
    </w:lvl>
    <w:lvl w:ilvl="3" w:tplc="040C0001" w:tentative="1">
      <w:start w:val="1"/>
      <w:numFmt w:val="bullet"/>
      <w:lvlText w:val=""/>
      <w:lvlJc w:val="left"/>
      <w:pPr>
        <w:tabs>
          <w:tab w:val="num" w:pos="2942"/>
        </w:tabs>
        <w:ind w:left="2942" w:hanging="360"/>
      </w:pPr>
      <w:rPr>
        <w:rFonts w:ascii="Symbol" w:hAnsi="Symbol" w:hint="default"/>
      </w:rPr>
    </w:lvl>
    <w:lvl w:ilvl="4" w:tplc="040C0003" w:tentative="1">
      <w:start w:val="1"/>
      <w:numFmt w:val="bullet"/>
      <w:lvlText w:val="o"/>
      <w:lvlJc w:val="left"/>
      <w:pPr>
        <w:tabs>
          <w:tab w:val="num" w:pos="3662"/>
        </w:tabs>
        <w:ind w:left="3662" w:hanging="360"/>
      </w:pPr>
      <w:rPr>
        <w:rFonts w:ascii="Courier New" w:hAnsi="Courier New" w:cs="Symbol" w:hint="default"/>
      </w:rPr>
    </w:lvl>
    <w:lvl w:ilvl="5" w:tplc="040C0005" w:tentative="1">
      <w:start w:val="1"/>
      <w:numFmt w:val="bullet"/>
      <w:lvlText w:val=""/>
      <w:lvlJc w:val="left"/>
      <w:pPr>
        <w:tabs>
          <w:tab w:val="num" w:pos="4382"/>
        </w:tabs>
        <w:ind w:left="4382" w:hanging="360"/>
      </w:pPr>
      <w:rPr>
        <w:rFonts w:ascii="Wingdings" w:hAnsi="Wingdings" w:hint="default"/>
      </w:rPr>
    </w:lvl>
    <w:lvl w:ilvl="6" w:tplc="040C0001" w:tentative="1">
      <w:start w:val="1"/>
      <w:numFmt w:val="bullet"/>
      <w:lvlText w:val=""/>
      <w:lvlJc w:val="left"/>
      <w:pPr>
        <w:tabs>
          <w:tab w:val="num" w:pos="5102"/>
        </w:tabs>
        <w:ind w:left="5102" w:hanging="360"/>
      </w:pPr>
      <w:rPr>
        <w:rFonts w:ascii="Symbol" w:hAnsi="Symbol" w:hint="default"/>
      </w:rPr>
    </w:lvl>
    <w:lvl w:ilvl="7" w:tplc="040C0003" w:tentative="1">
      <w:start w:val="1"/>
      <w:numFmt w:val="bullet"/>
      <w:lvlText w:val="o"/>
      <w:lvlJc w:val="left"/>
      <w:pPr>
        <w:tabs>
          <w:tab w:val="num" w:pos="5822"/>
        </w:tabs>
        <w:ind w:left="5822" w:hanging="360"/>
      </w:pPr>
      <w:rPr>
        <w:rFonts w:ascii="Courier New" w:hAnsi="Courier New" w:cs="Symbol" w:hint="default"/>
      </w:rPr>
    </w:lvl>
    <w:lvl w:ilvl="8" w:tplc="040C0005" w:tentative="1">
      <w:start w:val="1"/>
      <w:numFmt w:val="bullet"/>
      <w:lvlText w:val=""/>
      <w:lvlJc w:val="left"/>
      <w:pPr>
        <w:tabs>
          <w:tab w:val="num" w:pos="6542"/>
        </w:tabs>
        <w:ind w:left="6542" w:hanging="360"/>
      </w:pPr>
      <w:rPr>
        <w:rFonts w:ascii="Wingdings" w:hAnsi="Wingdings" w:hint="default"/>
      </w:rPr>
    </w:lvl>
  </w:abstractNum>
  <w:abstractNum w:abstractNumId="24">
    <w:nsid w:val="4F5D5749"/>
    <w:multiLevelType w:val="hybridMultilevel"/>
    <w:tmpl w:val="99D4055A"/>
    <w:lvl w:ilvl="0" w:tplc="040C0001">
      <w:start w:val="1"/>
      <w:numFmt w:val="bullet"/>
      <w:lvlText w:val=""/>
      <w:lvlJc w:val="left"/>
      <w:pPr>
        <w:tabs>
          <w:tab w:val="num" w:pos="782"/>
        </w:tabs>
        <w:ind w:left="782" w:hanging="360"/>
      </w:pPr>
      <w:rPr>
        <w:rFonts w:ascii="Symbol" w:hAnsi="Symbol" w:hint="default"/>
      </w:rPr>
    </w:lvl>
    <w:lvl w:ilvl="1" w:tplc="040C0003" w:tentative="1">
      <w:start w:val="1"/>
      <w:numFmt w:val="bullet"/>
      <w:lvlText w:val="o"/>
      <w:lvlJc w:val="left"/>
      <w:pPr>
        <w:tabs>
          <w:tab w:val="num" w:pos="1502"/>
        </w:tabs>
        <w:ind w:left="1502" w:hanging="360"/>
      </w:pPr>
      <w:rPr>
        <w:rFonts w:ascii="Courier New" w:hAnsi="Courier New" w:cs="Symbol" w:hint="default"/>
      </w:rPr>
    </w:lvl>
    <w:lvl w:ilvl="2" w:tplc="040C0005" w:tentative="1">
      <w:start w:val="1"/>
      <w:numFmt w:val="bullet"/>
      <w:lvlText w:val=""/>
      <w:lvlJc w:val="left"/>
      <w:pPr>
        <w:tabs>
          <w:tab w:val="num" w:pos="2222"/>
        </w:tabs>
        <w:ind w:left="2222" w:hanging="360"/>
      </w:pPr>
      <w:rPr>
        <w:rFonts w:ascii="Wingdings" w:hAnsi="Wingdings" w:hint="default"/>
      </w:rPr>
    </w:lvl>
    <w:lvl w:ilvl="3" w:tplc="040C0001" w:tentative="1">
      <w:start w:val="1"/>
      <w:numFmt w:val="bullet"/>
      <w:lvlText w:val=""/>
      <w:lvlJc w:val="left"/>
      <w:pPr>
        <w:tabs>
          <w:tab w:val="num" w:pos="2942"/>
        </w:tabs>
        <w:ind w:left="2942" w:hanging="360"/>
      </w:pPr>
      <w:rPr>
        <w:rFonts w:ascii="Symbol" w:hAnsi="Symbol" w:hint="default"/>
      </w:rPr>
    </w:lvl>
    <w:lvl w:ilvl="4" w:tplc="040C0003" w:tentative="1">
      <w:start w:val="1"/>
      <w:numFmt w:val="bullet"/>
      <w:lvlText w:val="o"/>
      <w:lvlJc w:val="left"/>
      <w:pPr>
        <w:tabs>
          <w:tab w:val="num" w:pos="3662"/>
        </w:tabs>
        <w:ind w:left="3662" w:hanging="360"/>
      </w:pPr>
      <w:rPr>
        <w:rFonts w:ascii="Courier New" w:hAnsi="Courier New" w:cs="Symbol" w:hint="default"/>
      </w:rPr>
    </w:lvl>
    <w:lvl w:ilvl="5" w:tplc="040C0005" w:tentative="1">
      <w:start w:val="1"/>
      <w:numFmt w:val="bullet"/>
      <w:lvlText w:val=""/>
      <w:lvlJc w:val="left"/>
      <w:pPr>
        <w:tabs>
          <w:tab w:val="num" w:pos="4382"/>
        </w:tabs>
        <w:ind w:left="4382" w:hanging="360"/>
      </w:pPr>
      <w:rPr>
        <w:rFonts w:ascii="Wingdings" w:hAnsi="Wingdings" w:hint="default"/>
      </w:rPr>
    </w:lvl>
    <w:lvl w:ilvl="6" w:tplc="040C0001" w:tentative="1">
      <w:start w:val="1"/>
      <w:numFmt w:val="bullet"/>
      <w:lvlText w:val=""/>
      <w:lvlJc w:val="left"/>
      <w:pPr>
        <w:tabs>
          <w:tab w:val="num" w:pos="5102"/>
        </w:tabs>
        <w:ind w:left="5102" w:hanging="360"/>
      </w:pPr>
      <w:rPr>
        <w:rFonts w:ascii="Symbol" w:hAnsi="Symbol" w:hint="default"/>
      </w:rPr>
    </w:lvl>
    <w:lvl w:ilvl="7" w:tplc="040C0003" w:tentative="1">
      <w:start w:val="1"/>
      <w:numFmt w:val="bullet"/>
      <w:lvlText w:val="o"/>
      <w:lvlJc w:val="left"/>
      <w:pPr>
        <w:tabs>
          <w:tab w:val="num" w:pos="5822"/>
        </w:tabs>
        <w:ind w:left="5822" w:hanging="360"/>
      </w:pPr>
      <w:rPr>
        <w:rFonts w:ascii="Courier New" w:hAnsi="Courier New" w:cs="Symbol" w:hint="default"/>
      </w:rPr>
    </w:lvl>
    <w:lvl w:ilvl="8" w:tplc="040C0005" w:tentative="1">
      <w:start w:val="1"/>
      <w:numFmt w:val="bullet"/>
      <w:lvlText w:val=""/>
      <w:lvlJc w:val="left"/>
      <w:pPr>
        <w:tabs>
          <w:tab w:val="num" w:pos="6542"/>
        </w:tabs>
        <w:ind w:left="6542" w:hanging="360"/>
      </w:pPr>
      <w:rPr>
        <w:rFonts w:ascii="Wingdings" w:hAnsi="Wingdings" w:hint="default"/>
      </w:rPr>
    </w:lvl>
  </w:abstractNum>
  <w:abstractNum w:abstractNumId="25">
    <w:nsid w:val="56497C8A"/>
    <w:multiLevelType w:val="hybridMultilevel"/>
    <w:tmpl w:val="34588B0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6">
    <w:nsid w:val="578148E7"/>
    <w:multiLevelType w:val="hybridMultilevel"/>
    <w:tmpl w:val="50927F9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580C11A6"/>
    <w:multiLevelType w:val="hybridMultilevel"/>
    <w:tmpl w:val="6EDA39CC"/>
    <w:lvl w:ilvl="0" w:tplc="040C0001">
      <w:start w:val="1"/>
      <w:numFmt w:val="bullet"/>
      <w:lvlText w:val=""/>
      <w:lvlJc w:val="left"/>
      <w:pPr>
        <w:tabs>
          <w:tab w:val="num" w:pos="720"/>
        </w:tabs>
        <w:ind w:left="72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8">
    <w:nsid w:val="5CDB7648"/>
    <w:multiLevelType w:val="hybridMultilevel"/>
    <w:tmpl w:val="1826EEFA"/>
    <w:lvl w:ilvl="0" w:tplc="AC444A76">
      <w:start w:val="1"/>
      <w:numFmt w:val="decimal"/>
      <w:lvlText w:val="%1."/>
      <w:lvlJc w:val="left"/>
      <w:pPr>
        <w:ind w:left="720" w:hanging="360"/>
      </w:pPr>
      <w:rPr>
        <w:rFonts w:ascii="Verdana" w:hAnsi="Verdana" w:cs="Times New Roman"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nsid w:val="5D6E0C43"/>
    <w:multiLevelType w:val="hybridMultilevel"/>
    <w:tmpl w:val="8FBA5BD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0">
    <w:nsid w:val="5E1C2F41"/>
    <w:multiLevelType w:val="hybridMultilevel"/>
    <w:tmpl w:val="F2DED7F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61DE5403"/>
    <w:multiLevelType w:val="hybridMultilevel"/>
    <w:tmpl w:val="A6407A78"/>
    <w:lvl w:ilvl="0" w:tplc="040C0019">
      <w:start w:val="2"/>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nsid w:val="69DA275E"/>
    <w:multiLevelType w:val="hybridMultilevel"/>
    <w:tmpl w:val="910608A6"/>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nsid w:val="6DAB1868"/>
    <w:multiLevelType w:val="hybridMultilevel"/>
    <w:tmpl w:val="EC7CF64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701D65CF"/>
    <w:multiLevelType w:val="hybridMultilevel"/>
    <w:tmpl w:val="0C161C8A"/>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5">
    <w:nsid w:val="753303F0"/>
    <w:multiLevelType w:val="hybridMultilevel"/>
    <w:tmpl w:val="409E4DA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nsid w:val="7E072734"/>
    <w:multiLevelType w:val="hybridMultilevel"/>
    <w:tmpl w:val="74881D50"/>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Symbo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Symbo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7">
    <w:nsid w:val="7F0540F7"/>
    <w:multiLevelType w:val="hybridMultilevel"/>
    <w:tmpl w:val="116CD01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num w:numId="1">
    <w:abstractNumId w:val="21"/>
  </w:num>
  <w:num w:numId="2">
    <w:abstractNumId w:val="11"/>
  </w:num>
  <w:num w:numId="3">
    <w:abstractNumId w:val="18"/>
  </w:num>
  <w:num w:numId="4">
    <w:abstractNumId w:val="27"/>
  </w:num>
  <w:num w:numId="5">
    <w:abstractNumId w:val="34"/>
  </w:num>
  <w:num w:numId="6">
    <w:abstractNumId w:val="13"/>
  </w:num>
  <w:num w:numId="7">
    <w:abstractNumId w:val="4"/>
  </w:num>
  <w:num w:numId="8">
    <w:abstractNumId w:val="25"/>
  </w:num>
  <w:num w:numId="9">
    <w:abstractNumId w:val="36"/>
  </w:num>
  <w:num w:numId="10">
    <w:abstractNumId w:val="3"/>
  </w:num>
  <w:num w:numId="11">
    <w:abstractNumId w:val="23"/>
  </w:num>
  <w:num w:numId="12">
    <w:abstractNumId w:val="24"/>
  </w:num>
  <w:num w:numId="13">
    <w:abstractNumId w:val="29"/>
  </w:num>
  <w:num w:numId="14">
    <w:abstractNumId w:val="12"/>
  </w:num>
  <w:num w:numId="15">
    <w:abstractNumId w:val="6"/>
  </w:num>
  <w:num w:numId="16">
    <w:abstractNumId w:val="5"/>
  </w:num>
  <w:num w:numId="17">
    <w:abstractNumId w:val="19"/>
  </w:num>
  <w:num w:numId="18">
    <w:abstractNumId w:val="30"/>
  </w:num>
  <w:num w:numId="19">
    <w:abstractNumId w:val="16"/>
  </w:num>
  <w:num w:numId="20">
    <w:abstractNumId w:val="22"/>
  </w:num>
  <w:num w:numId="21">
    <w:abstractNumId w:val="32"/>
  </w:num>
  <w:num w:numId="22">
    <w:abstractNumId w:val="1"/>
  </w:num>
  <w:num w:numId="23">
    <w:abstractNumId w:val="17"/>
  </w:num>
  <w:num w:numId="24">
    <w:abstractNumId w:val="15"/>
  </w:num>
  <w:num w:numId="25">
    <w:abstractNumId w:val="37"/>
  </w:num>
  <w:num w:numId="26">
    <w:abstractNumId w:val="31"/>
  </w:num>
  <w:num w:numId="27">
    <w:abstractNumId w:val="26"/>
  </w:num>
  <w:num w:numId="28">
    <w:abstractNumId w:val="8"/>
  </w:num>
  <w:num w:numId="29">
    <w:abstractNumId w:val="2"/>
  </w:num>
  <w:num w:numId="30">
    <w:abstractNumId w:val="9"/>
  </w:num>
  <w:num w:numId="31">
    <w:abstractNumId w:val="10"/>
  </w:num>
  <w:num w:numId="32">
    <w:abstractNumId w:val="33"/>
  </w:num>
  <w:num w:numId="33">
    <w:abstractNumId w:val="0"/>
  </w:num>
  <w:num w:numId="34">
    <w:abstractNumId w:val="14"/>
  </w:num>
  <w:num w:numId="35">
    <w:abstractNumId w:val="20"/>
  </w:num>
  <w:num w:numId="36">
    <w:abstractNumId w:val="28"/>
  </w:num>
  <w:num w:numId="37">
    <w:abstractNumId w:val="35"/>
  </w:num>
  <w:num w:numId="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72C8"/>
    <w:rsid w:val="00054809"/>
    <w:rsid w:val="000873EC"/>
    <w:rsid w:val="000A1C7F"/>
    <w:rsid w:val="000C7471"/>
    <w:rsid w:val="000C74A5"/>
    <w:rsid w:val="00101D6B"/>
    <w:rsid w:val="00153963"/>
    <w:rsid w:val="00182A5C"/>
    <w:rsid w:val="001F68B1"/>
    <w:rsid w:val="00260CED"/>
    <w:rsid w:val="002C71FF"/>
    <w:rsid w:val="003245C2"/>
    <w:rsid w:val="00324859"/>
    <w:rsid w:val="00353B4A"/>
    <w:rsid w:val="003C32A8"/>
    <w:rsid w:val="00401944"/>
    <w:rsid w:val="00406629"/>
    <w:rsid w:val="00433A2B"/>
    <w:rsid w:val="004C28BB"/>
    <w:rsid w:val="005A00FE"/>
    <w:rsid w:val="005B72C8"/>
    <w:rsid w:val="005D1CEA"/>
    <w:rsid w:val="006020C1"/>
    <w:rsid w:val="00617F07"/>
    <w:rsid w:val="00655DC0"/>
    <w:rsid w:val="00675DFB"/>
    <w:rsid w:val="006F119A"/>
    <w:rsid w:val="00734D0E"/>
    <w:rsid w:val="007B18B9"/>
    <w:rsid w:val="007E6B07"/>
    <w:rsid w:val="008314CB"/>
    <w:rsid w:val="0085643A"/>
    <w:rsid w:val="008A5B4F"/>
    <w:rsid w:val="008B0E46"/>
    <w:rsid w:val="008E23D3"/>
    <w:rsid w:val="008E3730"/>
    <w:rsid w:val="008F306A"/>
    <w:rsid w:val="009A330C"/>
    <w:rsid w:val="009F5378"/>
    <w:rsid w:val="00A43569"/>
    <w:rsid w:val="00A658C7"/>
    <w:rsid w:val="00AA2CF1"/>
    <w:rsid w:val="00AD5B0D"/>
    <w:rsid w:val="00B077CA"/>
    <w:rsid w:val="00B33B91"/>
    <w:rsid w:val="00BD4F96"/>
    <w:rsid w:val="00C238D7"/>
    <w:rsid w:val="00C465E0"/>
    <w:rsid w:val="00CB7873"/>
    <w:rsid w:val="00CE4DB6"/>
    <w:rsid w:val="00D57A06"/>
    <w:rsid w:val="00D75195"/>
    <w:rsid w:val="00E26479"/>
    <w:rsid w:val="00ED71A4"/>
    <w:rsid w:val="00F31E10"/>
    <w:rsid w:val="00F838A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42161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82">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3358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rsid w:val="00CE4DB6"/>
    <w:rPr>
      <w:rFonts w:ascii="Tahoma" w:hAnsi="Tahoma" w:cs="Tahoma"/>
      <w:sz w:val="16"/>
      <w:szCs w:val="16"/>
    </w:rPr>
  </w:style>
  <w:style w:type="character" w:customStyle="1" w:styleId="TextedebullesCar">
    <w:name w:val="Texte de bulles Car"/>
    <w:basedOn w:val="Policepardfaut"/>
    <w:link w:val="Textedebulles"/>
    <w:rsid w:val="00CE4DB6"/>
    <w:rPr>
      <w:rFonts w:ascii="Tahoma" w:hAnsi="Tahoma" w:cs="Tahoma"/>
      <w:sz w:val="16"/>
      <w:szCs w:val="16"/>
    </w:rPr>
  </w:style>
  <w:style w:type="paragraph" w:styleId="Pardeliste">
    <w:name w:val="List Paragraph"/>
    <w:basedOn w:val="Normal"/>
    <w:uiPriority w:val="72"/>
    <w:rsid w:val="00CE4D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7106084">
      <w:bodyDiv w:val="1"/>
      <w:marLeft w:val="0"/>
      <w:marRight w:val="0"/>
      <w:marTop w:val="0"/>
      <w:marBottom w:val="0"/>
      <w:divBdr>
        <w:top w:val="none" w:sz="0" w:space="0" w:color="auto"/>
        <w:left w:val="none" w:sz="0" w:space="0" w:color="auto"/>
        <w:bottom w:val="none" w:sz="0" w:space="0" w:color="auto"/>
        <w:right w:val="none" w:sz="0" w:space="0" w:color="auto"/>
      </w:divBdr>
      <w:divsChild>
        <w:div w:id="1291784368">
          <w:marLeft w:val="0"/>
          <w:marRight w:val="0"/>
          <w:marTop w:val="0"/>
          <w:marBottom w:val="0"/>
          <w:divBdr>
            <w:top w:val="none" w:sz="0" w:space="0" w:color="auto"/>
            <w:left w:val="none" w:sz="0" w:space="0" w:color="auto"/>
            <w:bottom w:val="none" w:sz="0" w:space="0" w:color="auto"/>
            <w:right w:val="none" w:sz="0" w:space="0" w:color="auto"/>
          </w:divBdr>
          <w:divsChild>
            <w:div w:id="234509581">
              <w:marLeft w:val="0"/>
              <w:marRight w:val="0"/>
              <w:marTop w:val="0"/>
              <w:marBottom w:val="0"/>
              <w:divBdr>
                <w:top w:val="none" w:sz="0" w:space="0" w:color="auto"/>
                <w:left w:val="none" w:sz="0" w:space="0" w:color="auto"/>
                <w:bottom w:val="none" w:sz="0" w:space="0" w:color="auto"/>
                <w:right w:val="none" w:sz="0" w:space="0" w:color="auto"/>
              </w:divBdr>
            </w:div>
            <w:div w:id="356928721">
              <w:marLeft w:val="0"/>
              <w:marRight w:val="0"/>
              <w:marTop w:val="0"/>
              <w:marBottom w:val="0"/>
              <w:divBdr>
                <w:top w:val="none" w:sz="0" w:space="0" w:color="auto"/>
                <w:left w:val="none" w:sz="0" w:space="0" w:color="auto"/>
                <w:bottom w:val="none" w:sz="0" w:space="0" w:color="auto"/>
                <w:right w:val="none" w:sz="0" w:space="0" w:color="auto"/>
              </w:divBdr>
            </w:div>
            <w:div w:id="1651786066">
              <w:marLeft w:val="0"/>
              <w:marRight w:val="0"/>
              <w:marTop w:val="0"/>
              <w:marBottom w:val="0"/>
              <w:divBdr>
                <w:top w:val="none" w:sz="0" w:space="0" w:color="auto"/>
                <w:left w:val="none" w:sz="0" w:space="0" w:color="auto"/>
                <w:bottom w:val="none" w:sz="0" w:space="0" w:color="auto"/>
                <w:right w:val="none" w:sz="0" w:space="0" w:color="auto"/>
              </w:divBdr>
            </w:div>
            <w:div w:id="208321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434765">
      <w:bodyDiv w:val="1"/>
      <w:marLeft w:val="0"/>
      <w:marRight w:val="0"/>
      <w:marTop w:val="0"/>
      <w:marBottom w:val="0"/>
      <w:divBdr>
        <w:top w:val="none" w:sz="0" w:space="0" w:color="auto"/>
        <w:left w:val="none" w:sz="0" w:space="0" w:color="auto"/>
        <w:bottom w:val="none" w:sz="0" w:space="0" w:color="auto"/>
        <w:right w:val="none" w:sz="0" w:space="0" w:color="auto"/>
      </w:divBdr>
      <w:divsChild>
        <w:div w:id="1625499730">
          <w:marLeft w:val="0"/>
          <w:marRight w:val="0"/>
          <w:marTop w:val="0"/>
          <w:marBottom w:val="0"/>
          <w:divBdr>
            <w:top w:val="none" w:sz="0" w:space="0" w:color="auto"/>
            <w:left w:val="none" w:sz="0" w:space="0" w:color="auto"/>
            <w:bottom w:val="none" w:sz="0" w:space="0" w:color="auto"/>
            <w:right w:val="none" w:sz="0" w:space="0" w:color="auto"/>
          </w:divBdr>
          <w:divsChild>
            <w:div w:id="12459198">
              <w:marLeft w:val="0"/>
              <w:marRight w:val="0"/>
              <w:marTop w:val="0"/>
              <w:marBottom w:val="0"/>
              <w:divBdr>
                <w:top w:val="none" w:sz="0" w:space="0" w:color="auto"/>
                <w:left w:val="none" w:sz="0" w:space="0" w:color="auto"/>
                <w:bottom w:val="none" w:sz="0" w:space="0" w:color="auto"/>
                <w:right w:val="none" w:sz="0" w:space="0" w:color="auto"/>
              </w:divBdr>
            </w:div>
            <w:div w:id="1023945810">
              <w:marLeft w:val="0"/>
              <w:marRight w:val="0"/>
              <w:marTop w:val="0"/>
              <w:marBottom w:val="0"/>
              <w:divBdr>
                <w:top w:val="none" w:sz="0" w:space="0" w:color="auto"/>
                <w:left w:val="none" w:sz="0" w:space="0" w:color="auto"/>
                <w:bottom w:val="none" w:sz="0" w:space="0" w:color="auto"/>
                <w:right w:val="none" w:sz="0" w:space="0" w:color="auto"/>
              </w:divBdr>
            </w:div>
            <w:div w:id="1339772739">
              <w:marLeft w:val="0"/>
              <w:marRight w:val="0"/>
              <w:marTop w:val="0"/>
              <w:marBottom w:val="0"/>
              <w:divBdr>
                <w:top w:val="none" w:sz="0" w:space="0" w:color="auto"/>
                <w:left w:val="none" w:sz="0" w:space="0" w:color="auto"/>
                <w:bottom w:val="none" w:sz="0" w:space="0" w:color="auto"/>
                <w:right w:val="none" w:sz="0" w:space="0" w:color="auto"/>
              </w:divBdr>
            </w:div>
            <w:div w:id="136224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066671">
      <w:bodyDiv w:val="1"/>
      <w:marLeft w:val="0"/>
      <w:marRight w:val="0"/>
      <w:marTop w:val="0"/>
      <w:marBottom w:val="0"/>
      <w:divBdr>
        <w:top w:val="none" w:sz="0" w:space="0" w:color="auto"/>
        <w:left w:val="none" w:sz="0" w:space="0" w:color="auto"/>
        <w:bottom w:val="none" w:sz="0" w:space="0" w:color="auto"/>
        <w:right w:val="none" w:sz="0" w:space="0" w:color="auto"/>
      </w:divBdr>
      <w:divsChild>
        <w:div w:id="1057045981">
          <w:marLeft w:val="0"/>
          <w:marRight w:val="0"/>
          <w:marTop w:val="0"/>
          <w:marBottom w:val="0"/>
          <w:divBdr>
            <w:top w:val="none" w:sz="0" w:space="0" w:color="auto"/>
            <w:left w:val="none" w:sz="0" w:space="0" w:color="auto"/>
            <w:bottom w:val="none" w:sz="0" w:space="0" w:color="auto"/>
            <w:right w:val="none" w:sz="0" w:space="0" w:color="auto"/>
          </w:divBdr>
          <w:divsChild>
            <w:div w:id="56198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86617">
      <w:bodyDiv w:val="1"/>
      <w:marLeft w:val="0"/>
      <w:marRight w:val="0"/>
      <w:marTop w:val="0"/>
      <w:marBottom w:val="0"/>
      <w:divBdr>
        <w:top w:val="none" w:sz="0" w:space="0" w:color="auto"/>
        <w:left w:val="none" w:sz="0" w:space="0" w:color="auto"/>
        <w:bottom w:val="none" w:sz="0" w:space="0" w:color="auto"/>
        <w:right w:val="none" w:sz="0" w:space="0" w:color="auto"/>
      </w:divBdr>
      <w:divsChild>
        <w:div w:id="769786409">
          <w:marLeft w:val="150"/>
          <w:marRight w:val="0"/>
          <w:marTop w:val="0"/>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5.png"/><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image" Target="media/image6.emf"/><Relationship Id="rId11" Type="http://schemas.openxmlformats.org/officeDocument/2006/relationships/image" Target="media/image7.png"/><Relationship Id="rId12" Type="http://schemas.openxmlformats.org/officeDocument/2006/relationships/image" Target="media/image8.emf"/><Relationship Id="rId13" Type="http://schemas.openxmlformats.org/officeDocument/2006/relationships/image" Target="media/image9.emf"/><Relationship Id="rId14" Type="http://schemas.openxmlformats.org/officeDocument/2006/relationships/image" Target="media/image10.png"/><Relationship Id="rId15" Type="http://schemas.openxmlformats.org/officeDocument/2006/relationships/image" Target="media/image11.emf"/><Relationship Id="rId16" Type="http://schemas.openxmlformats.org/officeDocument/2006/relationships/image" Target="media/image12.png"/><Relationship Id="rId17" Type="http://schemas.openxmlformats.org/officeDocument/2006/relationships/image" Target="media/image13.png"/><Relationship Id="rId18" Type="http://schemas.openxmlformats.org/officeDocument/2006/relationships/image" Target="media/image14.png"/><Relationship Id="rId19" Type="http://schemas.openxmlformats.org/officeDocument/2006/relationships/image" Target="media/image15.png"/><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emf"/><Relationship Id="rId8" Type="http://schemas.openxmlformats.org/officeDocument/2006/relationships/image" Target="media/image4.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ureau">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27</Pages>
  <Words>9092</Words>
  <Characters>50011</Characters>
  <Application>Microsoft Macintosh Word</Application>
  <DocSecurity>0</DocSecurity>
  <Lines>416</Lines>
  <Paragraphs>117</Paragraphs>
  <ScaleCrop>false</ScaleCrop>
  <HeadingPairs>
    <vt:vector size="2" baseType="variant">
      <vt:variant>
        <vt:lpstr>Titre</vt:lpstr>
      </vt:variant>
      <vt:variant>
        <vt:i4>1</vt:i4>
      </vt:variant>
    </vt:vector>
  </HeadingPairs>
  <TitlesOfParts>
    <vt:vector size="1" baseType="lpstr">
      <vt:lpstr>Le PT représente l’ensemble des innovations qui entraînent des transformations des méthodes, des équipements et de l’organisation de la production, mais également dans les produits, les marchés et les institutions</vt:lpstr>
    </vt:vector>
  </TitlesOfParts>
  <Company>Microsoft</Company>
  <LinksUpToDate>false</LinksUpToDate>
  <CharactersWithSpaces>58986</CharactersWithSpaces>
  <SharedDoc>false</SharedDoc>
  <HLinks>
    <vt:vector size="12" baseType="variant">
      <vt:variant>
        <vt:i4>6160445</vt:i4>
      </vt:variant>
      <vt:variant>
        <vt:i4>3720</vt:i4>
      </vt:variant>
      <vt:variant>
        <vt:i4>1025</vt:i4>
      </vt:variant>
      <vt:variant>
        <vt:i4>1</vt:i4>
      </vt:variant>
      <vt:variant>
        <vt:lpwstr>UN_MIL~1</vt:lpwstr>
      </vt:variant>
      <vt:variant>
        <vt:lpwstr/>
      </vt:variant>
      <vt:variant>
        <vt:i4>1704033</vt:i4>
      </vt:variant>
      <vt:variant>
        <vt:i4>53982</vt:i4>
      </vt:variant>
      <vt:variant>
        <vt:i4>1039</vt:i4>
      </vt:variant>
      <vt:variant>
        <vt:i4>1</vt:i4>
      </vt:variant>
      <vt:variant>
        <vt:lpwstr>GINI_retouched_legend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 PT représente l’ensemble des innovations qui entraînent des transformations des méthodes, des équipements et de l’organisation de la production, mais également dans les produits, les marchés et les institutions</dc:title>
  <dc:subject/>
  <dc:creator>eric</dc:creator>
  <cp:keywords/>
  <cp:lastModifiedBy>Eric Rougier</cp:lastModifiedBy>
  <cp:revision>3</cp:revision>
  <cp:lastPrinted>2015-12-09T09:22:00Z</cp:lastPrinted>
  <dcterms:created xsi:type="dcterms:W3CDTF">2019-01-07T11:30:00Z</dcterms:created>
  <dcterms:modified xsi:type="dcterms:W3CDTF">2019-01-07T12:01:00Z</dcterms:modified>
</cp:coreProperties>
</file>