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63D7" w:rsidRDefault="00230B2C" w:rsidP="009763D7">
      <w:pPr>
        <w:pStyle w:val="3TYPEDOCUMENT"/>
      </w:pPr>
      <w:bookmarkStart w:id="0" w:name="_Toc336716593"/>
      <w:r>
        <w:t xml:space="preserve">Exemple de </w:t>
      </w:r>
      <w:r w:rsidR="00156E75">
        <w:t>Mémoire</w:t>
      </w:r>
      <w:r w:rsidR="00825D2C">
        <w:t xml:space="preserve"> </w:t>
      </w:r>
      <w:r w:rsidR="00825D2C">
        <w:br/>
        <w:t>(</w:t>
      </w:r>
      <w:r w:rsidR="00825D2C" w:rsidRPr="00825D2C">
        <w:rPr>
          <w:rStyle w:val="Accentuation"/>
        </w:rPr>
        <w:t>Fichier de manip / TD1</w:t>
      </w:r>
      <w:r w:rsidR="00825D2C">
        <w:t>)</w:t>
      </w:r>
    </w:p>
    <w:p w:rsidR="009763D7" w:rsidRPr="0015626B" w:rsidRDefault="009763D7" w:rsidP="009763D7">
      <w:pPr>
        <w:pStyle w:val="4BARREGRASSE"/>
      </w:pPr>
    </w:p>
    <w:tbl>
      <w:tblPr>
        <w:tblW w:w="5000" w:type="pct"/>
        <w:tblLook w:val="04A0" w:firstRow="1" w:lastRow="0" w:firstColumn="1" w:lastColumn="0" w:noHBand="0" w:noVBand="1"/>
      </w:tblPr>
      <w:tblGrid>
        <w:gridCol w:w="8504"/>
      </w:tblGrid>
      <w:tr w:rsidR="009763D7" w:rsidTr="002D5B3D">
        <w:trPr>
          <w:trHeight w:hRule="exact" w:val="1701"/>
        </w:trPr>
        <w:tc>
          <w:tcPr>
            <w:tcW w:w="5000" w:type="pct"/>
            <w:shd w:val="clear" w:color="auto" w:fill="auto"/>
            <w:vAlign w:val="center"/>
          </w:tcPr>
          <w:p w:rsidR="009763D7" w:rsidRDefault="009763D7" w:rsidP="0036039F">
            <w:pPr>
              <w:pStyle w:val="5NOMAUTEURDOC"/>
              <w:overflowPunct w:val="0"/>
              <w:autoSpaceDE w:val="0"/>
              <w:autoSpaceDN w:val="0"/>
              <w:adjustRightInd w:val="0"/>
              <w:spacing w:line="320" w:lineRule="exact"/>
              <w:ind w:left="720"/>
              <w:textAlignment w:val="baseline"/>
            </w:pPr>
            <w:r>
              <w:t xml:space="preserve">Pascal </w:t>
            </w:r>
            <w:r w:rsidR="0036039F">
              <w:t>COUSSAUD</w:t>
            </w:r>
          </w:p>
        </w:tc>
      </w:tr>
      <w:tr w:rsidR="009763D7" w:rsidTr="002D5B3D">
        <w:trPr>
          <w:trHeight w:val="1701"/>
        </w:trPr>
        <w:tc>
          <w:tcPr>
            <w:tcW w:w="5000" w:type="pct"/>
            <w:shd w:val="clear" w:color="auto" w:fill="auto"/>
            <w:vAlign w:val="center"/>
          </w:tcPr>
          <w:p w:rsidR="009763D7" w:rsidRDefault="009763D7" w:rsidP="002D5B3D">
            <w:pPr>
              <w:pStyle w:val="Titre"/>
            </w:pPr>
            <w:r>
              <w:t>T</w:t>
            </w:r>
            <w:r w:rsidRPr="005E0833">
              <w:t>rès petites entreprises</w:t>
            </w:r>
            <w:r>
              <w:t xml:space="preserve"> </w:t>
            </w:r>
            <w:r w:rsidR="002D5B3D">
              <w:br/>
            </w:r>
            <w:r>
              <w:t xml:space="preserve">&amp; </w:t>
            </w:r>
            <w:r w:rsidR="005E5CFA">
              <w:br/>
            </w:r>
            <w:r>
              <w:t>D</w:t>
            </w:r>
            <w:r w:rsidRPr="005E0833">
              <w:t>ynamique</w:t>
            </w:r>
            <w:r>
              <w:t>s</w:t>
            </w:r>
            <w:r w:rsidRPr="005E0833">
              <w:t xml:space="preserve"> territoriale</w:t>
            </w:r>
            <w:r w:rsidR="00156E75">
              <w:t>s</w:t>
            </w:r>
          </w:p>
        </w:tc>
      </w:tr>
      <w:tr w:rsidR="009763D7" w:rsidTr="002D5B3D">
        <w:trPr>
          <w:trHeight w:val="1701"/>
        </w:trPr>
        <w:tc>
          <w:tcPr>
            <w:tcW w:w="5000" w:type="pct"/>
            <w:shd w:val="clear" w:color="auto" w:fill="auto"/>
            <w:vAlign w:val="center"/>
          </w:tcPr>
          <w:p w:rsidR="009763D7" w:rsidRDefault="009763D7" w:rsidP="002D5B3D">
            <w:pPr>
              <w:pStyle w:val="Sous-titre"/>
            </w:pPr>
            <w:r w:rsidRPr="009763D7">
              <w:t>Les politiques d'appui au développement</w:t>
            </w:r>
          </w:p>
        </w:tc>
      </w:tr>
    </w:tbl>
    <w:p w:rsidR="009763D7" w:rsidRDefault="009763D7" w:rsidP="009763D7">
      <w:pPr>
        <w:pStyle w:val="4BARREGRASSE"/>
      </w:pPr>
    </w:p>
    <w:tbl>
      <w:tblPr>
        <w:tblW w:w="5000" w:type="pct"/>
        <w:tblLook w:val="04A0" w:firstRow="1" w:lastRow="0" w:firstColumn="1" w:lastColumn="0" w:noHBand="0" w:noVBand="1"/>
      </w:tblPr>
      <w:tblGrid>
        <w:gridCol w:w="8504"/>
      </w:tblGrid>
      <w:tr w:rsidR="009763D7" w:rsidRPr="00B704E2" w:rsidTr="002D5B3D">
        <w:tc>
          <w:tcPr>
            <w:tcW w:w="5000" w:type="pct"/>
            <w:shd w:val="clear" w:color="auto" w:fill="auto"/>
          </w:tcPr>
          <w:p w:rsidR="009763D7" w:rsidRPr="00B704E2" w:rsidRDefault="009763D7" w:rsidP="0036039F">
            <w:pPr>
              <w:pStyle w:val="6REFERENCES"/>
              <w:ind w:left="720"/>
            </w:pPr>
            <w:r w:rsidRPr="00B704E2">
              <w:t>Réf</w:t>
            </w:r>
            <w:r>
              <w:t xml:space="preserve">érent universitaire : </w:t>
            </w:r>
            <w:r w:rsidR="0036039F">
              <w:t>XXX</w:t>
            </w:r>
          </w:p>
        </w:tc>
      </w:tr>
      <w:tr w:rsidR="009763D7" w:rsidRPr="00B704E2" w:rsidTr="002D5B3D">
        <w:tc>
          <w:tcPr>
            <w:tcW w:w="5000" w:type="pct"/>
            <w:shd w:val="clear" w:color="auto" w:fill="auto"/>
          </w:tcPr>
          <w:p w:rsidR="009763D7" w:rsidRDefault="009763D7" w:rsidP="002D5B3D">
            <w:pPr>
              <w:pStyle w:val="6REFERENCES"/>
              <w:overflowPunct w:val="0"/>
              <w:autoSpaceDE w:val="0"/>
              <w:autoSpaceDN w:val="0"/>
              <w:adjustRightInd w:val="0"/>
              <w:spacing w:line="320" w:lineRule="exact"/>
              <w:ind w:left="720"/>
              <w:textAlignment w:val="baseline"/>
            </w:pPr>
            <w:r w:rsidRPr="00B704E2">
              <w:t xml:space="preserve">Référent d’entreprise : </w:t>
            </w:r>
            <w:r w:rsidR="0036039F">
              <w:t>XXX</w:t>
            </w:r>
          </w:p>
          <w:p w:rsidR="009763D7" w:rsidRPr="00B704E2" w:rsidRDefault="009763D7" w:rsidP="0036039F">
            <w:pPr>
              <w:pStyle w:val="6REFERENCES"/>
              <w:ind w:left="720"/>
            </w:pPr>
            <w:r>
              <w:t xml:space="preserve">Entreprise d’accueil : </w:t>
            </w:r>
            <w:r w:rsidR="0036039F">
              <w:t>XXX</w:t>
            </w:r>
          </w:p>
        </w:tc>
      </w:tr>
    </w:tbl>
    <w:p w:rsidR="00C826F6" w:rsidRDefault="00C826F6" w:rsidP="00D57EA9">
      <w:pPr>
        <w:pStyle w:val="ESPACE"/>
        <w:sectPr w:rsidR="00C826F6" w:rsidSect="009415E0">
          <w:headerReference w:type="default" r:id="rId8"/>
          <w:footerReference w:type="default" r:id="rId9"/>
          <w:type w:val="continuous"/>
          <w:pgSz w:w="11907" w:h="16840" w:code="9"/>
          <w:pgMar w:top="2410" w:right="1985" w:bottom="2381" w:left="1418" w:header="737" w:footer="1134" w:gutter="0"/>
          <w:pgNumType w:start="1"/>
          <w:cols w:space="720"/>
        </w:sectPr>
      </w:pPr>
    </w:p>
    <w:p w:rsidR="00B67CF2" w:rsidRDefault="00D65C0F" w:rsidP="008714C2">
      <w:pPr>
        <w:pStyle w:val="Titre1"/>
      </w:pPr>
      <w:bookmarkStart w:id="1" w:name="_Toc398658410"/>
      <w:bookmarkEnd w:id="0"/>
      <w:r>
        <w:lastRenderedPageBreak/>
        <w:t>Présentation</w:t>
      </w:r>
      <w:bookmarkEnd w:id="1"/>
    </w:p>
    <w:p w:rsidR="00A07AFC" w:rsidRDefault="00B67CF2" w:rsidP="00977D07">
      <w:pPr>
        <w:pStyle w:val="Corpsdetexte"/>
      </w:pPr>
      <w:r>
        <w:t xml:space="preserve">Ce </w:t>
      </w:r>
      <w:r w:rsidR="00977D07">
        <w:t>travail</w:t>
      </w:r>
      <w:r>
        <w:t xml:space="preserve"> s’interroge sur la place des politiques d’aide au développement dans le fonctionneme</w:t>
      </w:r>
      <w:r w:rsidR="00984F94">
        <w:t xml:space="preserve">nt statique et </w:t>
      </w:r>
      <w:proofErr w:type="spellStart"/>
      <w:r w:rsidR="00984F94" w:rsidRPr="00984F94">
        <w:rPr>
          <w:highlight w:val="yellow"/>
        </w:rPr>
        <w:t>dynamiqu</w:t>
      </w:r>
      <w:proofErr w:type="spellEnd"/>
      <w:r>
        <w:t xml:space="preserve"> des territoires des petites entreprises implantées en milieu rural. Il cherche à saisir les interactions entre petite entreprise, ter</w:t>
      </w:r>
      <w:r w:rsidR="00F634BC">
        <w:t>ritoire et développement local.</w:t>
      </w:r>
    </w:p>
    <w:p w:rsidR="00B67CF2" w:rsidRDefault="00B67CF2" w:rsidP="00A07AFC">
      <w:pPr>
        <w:pStyle w:val="Corpsdetexte"/>
      </w:pPr>
      <w:r>
        <w:t xml:space="preserve">Il convient de préciser d’entrée </w:t>
      </w:r>
      <w:r w:rsidR="00984F94">
        <w:t xml:space="preserve">que notre réflexion </w:t>
      </w:r>
      <w:r w:rsidR="00984F94" w:rsidRPr="00984F94">
        <w:rPr>
          <w:highlight w:val="yellow"/>
        </w:rPr>
        <w:t>s’organiserons</w:t>
      </w:r>
      <w:r>
        <w:t xml:space="preserve"> à partir du niveau local des politiques territoriales en faveur des petites entreprises. Une telle limitation nous semble s’imposer dans la mesure où les relations entre ce niveau localisé, décentralisé et l’État central, voire l’Europe, relève d’une autre problématique qui dépasse largement les ambitions de cette étude.</w:t>
      </w:r>
    </w:p>
    <w:p w:rsidR="002D18B9" w:rsidRDefault="00B67CF2" w:rsidP="002D18B9">
      <w:pPr>
        <w:pStyle w:val="Corpsdetexte"/>
      </w:pPr>
      <w:r>
        <w:t xml:space="preserve">Ce travail n’a pas pour autant vocation à décrire l’ensemble des politiques étudiées, ni l’ensemble des </w:t>
      </w:r>
      <w:r w:rsidRPr="008714C2">
        <w:rPr>
          <w:rStyle w:val="Accentuation"/>
        </w:rPr>
        <w:t>lieux</w:t>
      </w:r>
      <w:r>
        <w:t xml:space="preserve">, </w:t>
      </w:r>
      <w:r w:rsidRPr="008714C2">
        <w:rPr>
          <w:rStyle w:val="Accentuation"/>
        </w:rPr>
        <w:t>systèmes</w:t>
      </w:r>
      <w:r>
        <w:t xml:space="preserve"> ou </w:t>
      </w:r>
      <w:r w:rsidRPr="008714C2">
        <w:rPr>
          <w:rStyle w:val="Accentuation"/>
        </w:rPr>
        <w:t>territoires</w:t>
      </w:r>
      <w:r>
        <w:t xml:space="preserve"> où elles </w:t>
      </w:r>
      <w:r w:rsidRPr="00984F94">
        <w:rPr>
          <w:highlight w:val="yellow"/>
        </w:rPr>
        <w:t>s’exercent</w:t>
      </w:r>
      <w:r w:rsidR="002D18B9" w:rsidRPr="002D18B9">
        <w:rPr>
          <w:highlight w:val="yellow"/>
        </w:rPr>
        <w:t>;</w:t>
      </w:r>
      <w:r w:rsidR="002D18B9">
        <w:t xml:space="preserve"> i</w:t>
      </w:r>
      <w:r>
        <w:t>l vise plutôt à une première synthèse, partielle mais orientée vers la pratique de développement, de travaux d’origines diverses provenant du champ de l’économie industrielle, mais également de ceux issus de disciplines telles que la géographie humaine, la sociologie des organisations, voire des travaux d’anthropologie et de la psychosociologie, traitant centralement ou marginalement des dynamiques territoriales des acteurs (entreprises, élus, État...).</w:t>
      </w:r>
    </w:p>
    <w:p w:rsidR="00B67CF2" w:rsidRDefault="00B67CF2" w:rsidP="00A07AFC">
      <w:pPr>
        <w:pStyle w:val="Corpsdetexte"/>
      </w:pPr>
      <w:r>
        <w:t xml:space="preserve">Il vise enfin un apport à caractère méthodologique sous forme d’une modélisation (ou plutôt d’une métaphore) permettant la prise en compte de ces </w:t>
      </w:r>
      <w:r w:rsidRPr="008714C2">
        <w:rPr>
          <w:rStyle w:val="Accentuation"/>
        </w:rPr>
        <w:t>systèmes ou territoires locaux</w:t>
      </w:r>
      <w:r>
        <w:t xml:space="preserve"> à partir de la place que différents acteurs tiennent dans l’équilibre et la dynamique de ceux-ci.</w:t>
      </w:r>
    </w:p>
    <w:p w:rsidR="008879F3" w:rsidRDefault="000676CD" w:rsidP="008879F3">
      <w:pPr>
        <w:pStyle w:val="Corpsdetexte"/>
      </w:pPr>
      <w:r>
        <w:t>S</w:t>
      </w:r>
      <w:r w:rsidR="008879F3">
        <w:t>i les approches en l’Économie Régionale rendent bien compte de la grande diversité de ces systèmes productifs localisés « </w:t>
      </w:r>
      <w:r w:rsidR="008879F3" w:rsidRPr="008714C2">
        <w:rPr>
          <w:rStyle w:val="Accentuation"/>
        </w:rPr>
        <w:t xml:space="preserve">globalement, nous sommes confrontés à des cas favorables qui ne disent pas </w:t>
      </w:r>
      <w:proofErr w:type="spellStart"/>
      <w:r w:rsidR="008879F3" w:rsidRPr="008879F3">
        <w:rPr>
          <w:rStyle w:val="Accentuation"/>
          <w:highlight w:val="yellow"/>
        </w:rPr>
        <w:t>grand chose</w:t>
      </w:r>
      <w:proofErr w:type="spellEnd"/>
      <w:r w:rsidR="008879F3" w:rsidRPr="008714C2">
        <w:rPr>
          <w:rStyle w:val="Accentuation"/>
        </w:rPr>
        <w:t xml:space="preserve"> pour les situations difficiles, en particulier pour les espaces ruraux non industrialisés</w:t>
      </w:r>
      <w:r w:rsidR="008879F3">
        <w:t> »</w:t>
      </w:r>
      <w:r w:rsidR="008879F3">
        <w:rPr>
          <w:rStyle w:val="Appelnotedebasdep"/>
          <w:sz w:val="22"/>
        </w:rPr>
        <w:footnoteReference w:id="1"/>
      </w:r>
      <w:r w:rsidR="008879F3">
        <w:t>.</w:t>
      </w:r>
    </w:p>
    <w:p w:rsidR="00B67CF2" w:rsidRPr="008714C2" w:rsidRDefault="008879F3" w:rsidP="008714C2">
      <w:pPr>
        <w:pStyle w:val="Citation"/>
      </w:pPr>
      <w:r w:rsidRPr="008714C2">
        <w:t xml:space="preserve"> </w:t>
      </w:r>
      <w:r w:rsidR="00B67CF2" w:rsidRPr="008714C2">
        <w:t>« L’ess</w:t>
      </w:r>
      <w:r w:rsidR="00A07AFC">
        <w:t>entiel est invisible aux yeux »</w:t>
      </w:r>
      <w:r w:rsidR="008714C2">
        <w:br/>
      </w:r>
      <w:r w:rsidR="00B67CF2" w:rsidRPr="00FB6829">
        <w:t xml:space="preserve">Saint </w:t>
      </w:r>
      <w:r w:rsidR="00984F94" w:rsidRPr="00FB6829">
        <w:t>Exupéry</w:t>
      </w:r>
    </w:p>
    <w:p w:rsidR="00B67CF2" w:rsidRDefault="00B67CF2" w:rsidP="008714C2">
      <w:pPr>
        <w:pStyle w:val="Titre1"/>
      </w:pPr>
      <w:bookmarkStart w:id="2" w:name="_Toc333377541"/>
      <w:bookmarkStart w:id="3" w:name="_Toc336716595"/>
      <w:bookmarkStart w:id="4" w:name="_Toc398658411"/>
      <w:r>
        <w:lastRenderedPageBreak/>
        <w:t>Introduction</w:t>
      </w:r>
      <w:bookmarkEnd w:id="2"/>
      <w:bookmarkEnd w:id="3"/>
      <w:bookmarkEnd w:id="4"/>
    </w:p>
    <w:p w:rsidR="00B67CF2" w:rsidRDefault="00B67CF2" w:rsidP="002C7BAC">
      <w:pPr>
        <w:pStyle w:val="Titre2"/>
      </w:pPr>
      <w:bookmarkStart w:id="5" w:name="_Toc333377542"/>
      <w:bookmarkStart w:id="6" w:name="_Toc336716596"/>
      <w:bookmarkStart w:id="7" w:name="_Toc398658412"/>
      <w:r>
        <w:t>Objectifs d’étude</w:t>
      </w:r>
      <w:bookmarkEnd w:id="5"/>
      <w:r>
        <w:t>. Petites entreprise et développement territorial</w:t>
      </w:r>
      <w:bookmarkEnd w:id="6"/>
      <w:bookmarkEnd w:id="7"/>
    </w:p>
    <w:p w:rsidR="00B67CF2" w:rsidRDefault="00B67CF2" w:rsidP="00A07AFC">
      <w:pPr>
        <w:pStyle w:val="Corpsdetexte"/>
      </w:pPr>
      <w:r>
        <w:t>L’idée que les petites et moyennes entreprises ont prouvé dans la crise leur plus grande faculté d’adaptation, de résistance, voire de réactions offensives semble aujourd’hui largement partagée. « </w:t>
      </w:r>
      <w:r w:rsidRPr="008714C2">
        <w:rPr>
          <w:rStyle w:val="Accentuation"/>
        </w:rPr>
        <w:t>De nombreuses études ont (...) montré en France l’importance de ce type de développement à base de PME, que ce soit au niveau des créations d’entreprises, des transformations des tissus industriels, du développement des technopôles et de la diffusion de l’innovation</w:t>
      </w:r>
      <w:r>
        <w:t> </w:t>
      </w:r>
      <w:r>
        <w:rPr>
          <w:rStyle w:val="Appelnotedebasdep"/>
          <w:sz w:val="22"/>
        </w:rPr>
        <w:footnoteReference w:id="2"/>
      </w:r>
      <w:r w:rsidR="00A07AFC">
        <w:t>».</w:t>
      </w:r>
    </w:p>
    <w:p w:rsidR="00B67CF2" w:rsidRPr="00340134" w:rsidRDefault="00B67CF2" w:rsidP="00A07AFC">
      <w:pPr>
        <w:pStyle w:val="Corpsdetexte"/>
      </w:pPr>
      <w:r w:rsidRPr="00340134">
        <w:t xml:space="preserve">C’est ce qu’implique ce constat pour la mise en </w:t>
      </w:r>
      <w:r w:rsidR="00C826F6" w:rsidRPr="00340134">
        <w:t xml:space="preserve">œuvre </w:t>
      </w:r>
      <w:r w:rsidRPr="00340134">
        <w:t xml:space="preserve">des politiques de développement local </w:t>
      </w:r>
      <w:r w:rsidR="00A07AFC" w:rsidRPr="00340134">
        <w:t>qui fait l’objet de ce travail.</w:t>
      </w:r>
    </w:p>
    <w:p w:rsidR="00B67CF2" w:rsidRPr="00340134" w:rsidRDefault="00B67CF2" w:rsidP="00A07AFC">
      <w:pPr>
        <w:pStyle w:val="Corpsdetexte"/>
      </w:pPr>
      <w:r w:rsidRPr="00340134">
        <w:t xml:space="preserve">Dans une première partie, nous rappellerons tout d’abord l’importance des petites entreprises pour l’économie française, en appuyant ces considérations sur quelques éléments de </w:t>
      </w:r>
      <w:r w:rsidR="00A07AFC" w:rsidRPr="00340134">
        <w:t>comparaison au niveau européen.</w:t>
      </w:r>
    </w:p>
    <w:p w:rsidR="00B67CF2" w:rsidRPr="00340134" w:rsidRDefault="00B67CF2" w:rsidP="00A07AFC">
      <w:pPr>
        <w:pStyle w:val="Corpsdetexte"/>
      </w:pPr>
      <w:r w:rsidRPr="00340134">
        <w:t>U</w:t>
      </w:r>
      <w:r w:rsidR="00984F94" w:rsidRPr="00340134">
        <w:t>ne deuxième et troisième partie</w:t>
      </w:r>
      <w:r w:rsidRPr="00340134">
        <w:t xml:space="preserve"> nous permettrons, à partir d’un double référentiel théorique et pratique, de construire progressivement nos axes de réflexion s’orientant vers une plus grande compréhension de la diversité de formes (politique, économique, sociale...) qui caractérise les </w:t>
      </w:r>
      <w:r w:rsidRPr="00A61BD2">
        <w:rPr>
          <w:rStyle w:val="ACCGRAS"/>
        </w:rPr>
        <w:t>territoires de ces entreprises, notamment en milieu rural</w:t>
      </w:r>
      <w:r w:rsidRPr="00340134">
        <w:rPr>
          <w:rStyle w:val="Accentuation"/>
        </w:rPr>
        <w:t>.</w:t>
      </w:r>
    </w:p>
    <w:p w:rsidR="00B67CF2" w:rsidRDefault="00B67CF2" w:rsidP="00A07AFC">
      <w:pPr>
        <w:pStyle w:val="Corpsdetexte"/>
      </w:pPr>
      <w:r w:rsidRPr="00340134">
        <w:t xml:space="preserve">Une quatrième partie récapitulera nos propositions et parti pris conceptuels, en proposant, à partir de l’étude de cas et des apports conceptuels retenus, </w:t>
      </w:r>
      <w:r w:rsidRPr="00A61BD2">
        <w:rPr>
          <w:rStyle w:val="ACCGRAS"/>
        </w:rPr>
        <w:t>un schéma de référence</w:t>
      </w:r>
      <w:r w:rsidRPr="00340134">
        <w:t xml:space="preserve">, pouvant offrir une meilleure lisibilité des problématiques liées à la mise en </w:t>
      </w:r>
      <w:r w:rsidR="00C826F6" w:rsidRPr="00340134">
        <w:t xml:space="preserve">œuvre </w:t>
      </w:r>
      <w:r w:rsidRPr="00340134">
        <w:t>sur ces</w:t>
      </w:r>
      <w:r>
        <w:t xml:space="preserve"> territoires d’une politique d’appui à leur développement.</w:t>
      </w:r>
    </w:p>
    <w:p w:rsidR="00B67CF2" w:rsidRPr="00B67CF2" w:rsidRDefault="00B67CF2" w:rsidP="00A07AFC">
      <w:pPr>
        <w:pStyle w:val="Corpsdetexte"/>
      </w:pPr>
      <w:r w:rsidRPr="00B67CF2">
        <w:t xml:space="preserve">Si nous souhaitons ici valoriser ce type d’approche, c’est que notre expérience professionnelle nous a fait mesurer à quel point il était difficile de saisir, au travers du prisme de multiples politiques économiques rurales, la dynamique de ces systèmes localisés d’entreprises, malgré le fait (ou à cause de celui-ci?) qu’elles soient de modestes entreprises, tant dans leurs ambitions économiques que productives. Difficilement appréciables de ce double point de vue, elles n’en sont </w:t>
      </w:r>
      <w:r w:rsidRPr="00B67CF2">
        <w:lastRenderedPageBreak/>
        <w:t>pas pour le moins essentielles au devenir de ces territoires ruraux dont elles représentent, à juste titre, un dernie</w:t>
      </w:r>
      <w:r w:rsidR="00A07AFC">
        <w:t>r rempart contre la déshérence.</w:t>
      </w:r>
    </w:p>
    <w:p w:rsidR="00B67CF2" w:rsidRDefault="00B67CF2" w:rsidP="00A07AFC">
      <w:pPr>
        <w:pStyle w:val="Corpsdetexte"/>
      </w:pPr>
      <w:r>
        <w:t>Au besoin, nous pourrions justifier cette problématique en soulignant le fait que si on peut admettre facilement que « </w:t>
      </w:r>
      <w:r w:rsidRPr="00A61BD2">
        <w:rPr>
          <w:rStyle w:val="Accentuation"/>
        </w:rPr>
        <w:t>dans les économies modernes, dominées par une conjoncture rendue difficile par une concurrence internationale acharnée, les emplois se créeront essentiellement dans les petites et moyennes entreprises et le secteur artisanal</w:t>
      </w:r>
      <w:r>
        <w:t> »</w:t>
      </w:r>
      <w:r>
        <w:rPr>
          <w:rStyle w:val="Appelnotedebasdep"/>
          <w:sz w:val="22"/>
        </w:rPr>
        <w:footnoteReference w:id="3"/>
      </w:r>
      <w:r>
        <w:t>, une entreprise, surtout petite, ne créera pourtant pas d’emplois pour répondre à une supplique du gouvernement ou pour simplement profiter d’un avantage fiscal, mais parce qu’elle en a besoin pour assurer son fonctionnement et son développement, e</w:t>
      </w:r>
      <w:r w:rsidR="00A07AFC">
        <w:t>t si possible de façon durable.</w:t>
      </w:r>
    </w:p>
    <w:p w:rsidR="00B67CF2" w:rsidRDefault="00B67CF2" w:rsidP="00A07AFC">
      <w:pPr>
        <w:pStyle w:val="Corpsdetexte"/>
      </w:pPr>
      <w:r>
        <w:t>On pourrait donc penser que les politiques ayant pour objectif de faciliter l’émergence d’une réponse adaptée aux besoins des petites entreprises, prêtent une attention soutenue au contexte d’expression de ces derniers dans ce qu’ils ont de spécifiques,</w:t>
      </w:r>
      <w:r w:rsidR="00A07AFC">
        <w:t xml:space="preserve"> de particuliers, de localisés.</w:t>
      </w:r>
    </w:p>
    <w:p w:rsidR="00B67CF2" w:rsidRDefault="00B67CF2" w:rsidP="00A07AFC">
      <w:pPr>
        <w:pStyle w:val="Corpsdetexte"/>
      </w:pPr>
      <w:r>
        <w:t xml:space="preserve">Pourtant, tout au long des </w:t>
      </w:r>
      <w:r w:rsidRPr="00A61BD2">
        <w:rPr>
          <w:rStyle w:val="ACCGRAS"/>
        </w:rPr>
        <w:t>Trente Glorieuses</w:t>
      </w:r>
      <w:r>
        <w:t xml:space="preserve"> la politique d’aménagement du territoire, qui a été le fait exclusif de l’État central (en position tout à la fois de concepteur, de décideur et d’exécuteur des orientations générales de développement), s’est appliquée de manière indifférenciée sur l’ensemble des espaces du territoire national rassemblé dans la rubrique hétérogène des </w:t>
      </w:r>
      <w:r w:rsidRPr="00A61BD2">
        <w:rPr>
          <w:rStyle w:val="ACCGRAS"/>
        </w:rPr>
        <w:t>zones fragiles, en retard de développement ou prioritaires dans les actions de revitalisation...</w:t>
      </w:r>
      <w:r>
        <w:t xml:space="preserve"> Jusqu’à une date récente, (et c’est encore très largement le cas aujourd’hui) les entités locales n’étaient perçues qu’à l’aune des circonscriptions d’exécution : des échelons délocalisés de coordination de l’action administrative centrale. Il s’agissait, en effet, dans ce cadre </w:t>
      </w:r>
      <w:r w:rsidRPr="00A61BD2">
        <w:rPr>
          <w:rStyle w:val="ACCGRAS"/>
        </w:rPr>
        <w:t>originel</w:t>
      </w:r>
      <w:r>
        <w:t>, d’un aménagement sélectif et distributif né du phénomène de polarisation de l’agglomération parisienne. Il fallait assurer une meilleure répartition des hommes en fonction des ressources naturelle</w:t>
      </w:r>
      <w:r w:rsidR="00A07AFC">
        <w:t>s et des activités économiques.</w:t>
      </w:r>
    </w:p>
    <w:p w:rsidR="00B67CF2" w:rsidRDefault="00B67CF2" w:rsidP="00A07AFC">
      <w:pPr>
        <w:pStyle w:val="Corpsdetexte"/>
      </w:pPr>
      <w:r>
        <w:t xml:space="preserve">Cette politique d’État conduite par l’État reposait sur une exigence fondamentale de solidarité au regard de laquelle la compétitivité des tissus ruraux d’entreprises et à fortiori les petits territoires qui les abritent ne constituaient pas un thème dominant. Elles étaient seulement envisagées du point de vue de l’efficacité </w:t>
      </w:r>
      <w:r>
        <w:lastRenderedPageBreak/>
        <w:t>politico-économique d’une démarche interventionniste et globalisante, allant du haut centralisé vers le bas déconcentré.</w:t>
      </w:r>
    </w:p>
    <w:p w:rsidR="00B67CF2" w:rsidRDefault="00B67CF2" w:rsidP="00A07AFC">
      <w:pPr>
        <w:pStyle w:val="Corpsdetexte"/>
      </w:pPr>
      <w:r>
        <w:t>Mais « aujourd’hui, l’idée de compétitivité domine le débat dans un paysage de plus en plus soumis aux mécanismes du marché, et la solidarité ne suffit plus à légitimer l’intervention étatique dans le domaine de l’aménagement du territoire ». Ou plus exactement « </w:t>
      </w:r>
      <w:r w:rsidRPr="00825D2C">
        <w:rPr>
          <w:rStyle w:val="Accentuation"/>
        </w:rPr>
        <w:t xml:space="preserve">la solidarité a perdu de son efficacité dans la mesure </w:t>
      </w:r>
      <w:r w:rsidR="00984F94" w:rsidRPr="00825D2C">
        <w:rPr>
          <w:rStyle w:val="Accentuation"/>
        </w:rPr>
        <w:t>où</w:t>
      </w:r>
      <w:r w:rsidRPr="00825D2C">
        <w:rPr>
          <w:rStyle w:val="Accentuation"/>
        </w:rPr>
        <w:t xml:space="preserve"> l’État n’est plus en mesure de lui donner un véritable contenu</w:t>
      </w:r>
      <w:r>
        <w:t> »</w:t>
      </w:r>
      <w:r>
        <w:rPr>
          <w:rStyle w:val="Appelnotedebasdep"/>
          <w:sz w:val="22"/>
        </w:rPr>
        <w:footnoteReference w:id="4"/>
      </w:r>
      <w:r>
        <w:t>. Ce faisant, l’espace local comme lieu où se joue la coopération entre acteurs fait une entrée en force dans la sphère des niveaux pertinents d’analyse et d’application des politiques de développement économique : la recherche d’une meilleure compétitivité des entreprises locales (essentiellement des petites entreprises) devient alors un objectif prioritaire</w:t>
      </w:r>
      <w:r>
        <w:rPr>
          <w:rStyle w:val="Appelnotedebasdep"/>
          <w:sz w:val="22"/>
        </w:rPr>
        <w:footnoteReference w:id="5"/>
      </w:r>
      <w:r w:rsidR="00A07AFC">
        <w:t>.</w:t>
      </w:r>
    </w:p>
    <w:p w:rsidR="00B67CF2" w:rsidRDefault="00B67CF2" w:rsidP="00A07AFC">
      <w:pPr>
        <w:pStyle w:val="Corpsdetexte"/>
      </w:pPr>
      <w:r>
        <w:t xml:space="preserve">La connaissance des processus locaux du développement économique se diffusant (par le biais notamment de nombreux cabinets conseils privés ou dépendants de collectivités territoriales et qui au cours des dix dernières années sont devenus les partenaires incontournables de la mise en </w:t>
      </w:r>
      <w:r w:rsidR="00C826F6">
        <w:t xml:space="preserve">œuvre </w:t>
      </w:r>
      <w:r>
        <w:t xml:space="preserve">des </w:t>
      </w:r>
      <w:r w:rsidRPr="00825D2C">
        <w:rPr>
          <w:rStyle w:val="ACCGRAS"/>
        </w:rPr>
        <w:t>plans</w:t>
      </w:r>
      <w:r>
        <w:t xml:space="preserve"> de développement), les acteurs politiques locaux s’en sont saisi (mais avaient-ils vraiment le choix ?) pour tenter de préserver ou de renforcer</w:t>
      </w:r>
      <w:r w:rsidR="00A07AFC">
        <w:t xml:space="preserve"> les atouts de leur territoire.</w:t>
      </w:r>
    </w:p>
    <w:p w:rsidR="00B67CF2" w:rsidRDefault="00B67CF2" w:rsidP="00A07AFC">
      <w:pPr>
        <w:pStyle w:val="Corpsdetexte"/>
      </w:pPr>
      <w:r>
        <w:t xml:space="preserve">Toutefois les procédures récentes de développement territorial fixent une </w:t>
      </w:r>
      <w:r w:rsidRPr="00A61BD2">
        <w:rPr>
          <w:rStyle w:val="ACCGRAS"/>
        </w:rPr>
        <w:t>masse critique</w:t>
      </w:r>
      <w:r>
        <w:t xml:space="preserve"> (notamment en terme</w:t>
      </w:r>
      <w:r w:rsidR="000676CD">
        <w:t>s</w:t>
      </w:r>
      <w:r>
        <w:t xml:space="preserve"> de densité d</w:t>
      </w:r>
      <w:r w:rsidR="00156E75">
        <w:t xml:space="preserve">émographique, qui, </w:t>
      </w:r>
      <w:r>
        <w:t xml:space="preserve">en général, dépasse de beaucoup les capacités de n’importe quelle commune rurale ou même d’un seul canton). Sous cette contrainte, les </w:t>
      </w:r>
      <w:r w:rsidRPr="008714C2">
        <w:rPr>
          <w:rStyle w:val="Accentuation"/>
        </w:rPr>
        <w:t>stratégies concertées</w:t>
      </w:r>
      <w:r>
        <w:t xml:space="preserve"> se sont développées de façon géométrique, efficacement relayées par l’idée qu’il existe </w:t>
      </w:r>
      <w:r w:rsidRPr="008714C2">
        <w:rPr>
          <w:rStyle w:val="Accentuation"/>
        </w:rPr>
        <w:t xml:space="preserve">un </w:t>
      </w:r>
      <w:r w:rsidRPr="00A61BD2">
        <w:rPr>
          <w:rStyle w:val="ACCGRAS"/>
        </w:rPr>
        <w:t>effet localité</w:t>
      </w:r>
      <w:r>
        <w:t>.</w:t>
      </w:r>
    </w:p>
    <w:p w:rsidR="00B67CF2" w:rsidRDefault="00B67CF2" w:rsidP="00A07AFC">
      <w:pPr>
        <w:pStyle w:val="Corpsdetexte"/>
      </w:pPr>
      <w:r>
        <w:t xml:space="preserve">Il nous semble donc souhaitable de réfléchir dès à présent à une synthèse cohérente (et que nous espérons éclairante) des modèles et concepts forgés dans </w:t>
      </w:r>
      <w:r>
        <w:lastRenderedPageBreak/>
        <w:t>différents champs théoriques en Sciences Humaines, dont le regard multiple peut nous être profitable quant à la compréhension des structures et dynamiques complexes se déployant au sein de ces territoires, que l’on dit en retard et dont la seule richesse est bien souvent la seule volonté des hommes qui y vivent encore.</w:t>
      </w:r>
    </w:p>
    <w:p w:rsidR="00B67CF2" w:rsidRDefault="00B67CF2" w:rsidP="002C7BAC">
      <w:pPr>
        <w:pStyle w:val="Titre2"/>
      </w:pPr>
      <w:bookmarkStart w:id="8" w:name="_Toc333377544"/>
      <w:bookmarkStart w:id="9" w:name="_Toc336716597"/>
      <w:bookmarkStart w:id="10" w:name="_Toc398658413"/>
      <w:r>
        <w:t>Concepts clés</w:t>
      </w:r>
      <w:bookmarkEnd w:id="8"/>
      <w:r>
        <w:t>. Système productif localisé, développement territorial, représentations...</w:t>
      </w:r>
      <w:bookmarkEnd w:id="9"/>
      <w:bookmarkEnd w:id="10"/>
    </w:p>
    <w:p w:rsidR="00F42EAB" w:rsidRDefault="00B67CF2" w:rsidP="00A07AFC">
      <w:pPr>
        <w:pStyle w:val="Corpsdetexte"/>
      </w:pPr>
      <w:r>
        <w:t xml:space="preserve">L’attention à la </w:t>
      </w:r>
      <w:r w:rsidRPr="008714C2">
        <w:rPr>
          <w:rStyle w:val="Accentuation"/>
        </w:rPr>
        <w:t>dimension locale</w:t>
      </w:r>
      <w:r>
        <w:t xml:space="preserve"> des processus de développement s’affirme. Nous pouvons évoquer plusieurs facteurs à l’origine de cette reconnaissance du local</w:t>
      </w:r>
      <w:r>
        <w:rPr>
          <w:rStyle w:val="Appelnotedebasdep"/>
          <w:sz w:val="22"/>
        </w:rPr>
        <w:footnoteReference w:id="6"/>
      </w:r>
      <w:r>
        <w:t> :</w:t>
      </w:r>
    </w:p>
    <w:p w:rsidR="00B67CF2" w:rsidRPr="008B2D0A" w:rsidRDefault="00B67CF2" w:rsidP="008B2D0A">
      <w:pPr>
        <w:pStyle w:val="Listepuces"/>
      </w:pPr>
      <w:r w:rsidRPr="008B2D0A">
        <w:t xml:space="preserve">une redécouverte de réalités négligées jusque-là, parce que trop longtemps observées avec le </w:t>
      </w:r>
      <w:r w:rsidRPr="008B2D0A">
        <w:rPr>
          <w:rStyle w:val="Accentuation"/>
          <w:i w:val="0"/>
          <w:iCs w:val="0"/>
        </w:rPr>
        <w:t>regard</w:t>
      </w:r>
      <w:r w:rsidRPr="008B2D0A">
        <w:t xml:space="preserve"> de la grande entreprise ;</w:t>
      </w:r>
    </w:p>
    <w:p w:rsidR="00B67CF2" w:rsidRPr="008B2D0A" w:rsidRDefault="00B67CF2" w:rsidP="008B2D0A">
      <w:pPr>
        <w:pStyle w:val="Listepuces"/>
      </w:pPr>
      <w:r w:rsidRPr="008B2D0A">
        <w:t>une perspective d’un développement contrôlé par les acteurs locaux au lieu de l’être par des idées et des volontés extérieures ;</w:t>
      </w:r>
    </w:p>
    <w:p w:rsidR="00F42EAB" w:rsidRPr="008B2D0A" w:rsidRDefault="00B67CF2" w:rsidP="008B2D0A">
      <w:pPr>
        <w:pStyle w:val="Listepuces"/>
      </w:pPr>
      <w:r w:rsidRPr="008B2D0A">
        <w:t>la prise de conscience de la nécessité d’avoir des instruments pour guider la dynamique d’innovation,</w:t>
      </w:r>
    </w:p>
    <w:p w:rsidR="00B67CF2" w:rsidRPr="008B2D0A" w:rsidRDefault="00B67CF2" w:rsidP="008B2D0A">
      <w:pPr>
        <w:pStyle w:val="Listepuces"/>
      </w:pPr>
      <w:r w:rsidRPr="008B2D0A">
        <w:t>le souhait de promouvoir des services moins centralisés,</w:t>
      </w:r>
    </w:p>
    <w:p w:rsidR="00B67CF2" w:rsidRPr="008B2D0A" w:rsidRDefault="00B67CF2" w:rsidP="008B2D0A">
      <w:pPr>
        <w:pStyle w:val="Listepuces"/>
      </w:pPr>
      <w:r w:rsidRPr="008B2D0A">
        <w:t xml:space="preserve">un potentiel de développement endogène que le modèle du </w:t>
      </w:r>
      <w:r w:rsidRPr="008B2D0A">
        <w:rPr>
          <w:rStyle w:val="Accentuation"/>
          <w:i w:val="0"/>
          <w:iCs w:val="0"/>
        </w:rPr>
        <w:t>district industriel</w:t>
      </w:r>
      <w:r w:rsidRPr="008B2D0A">
        <w:t xml:space="preserve"> semble promettre sans avoir besoin de recourir à des technologies et à des capitaux extérieurs.</w:t>
      </w:r>
    </w:p>
    <w:p w:rsidR="00B67CF2" w:rsidRDefault="00B67CF2" w:rsidP="00A07AFC">
      <w:pPr>
        <w:pStyle w:val="Corpsdetexte"/>
      </w:pPr>
      <w:r>
        <w:t xml:space="preserve">Les recherches menées en Économie Régionale ont approfondi l’idée que ce sont les facteurs locaux, économiques et non économiques, qui expliquent tout autant les réussites que l’irrésistible déclin des territoires. S’intéressant aux </w:t>
      </w:r>
      <w:r w:rsidRPr="00CF0494">
        <w:rPr>
          <w:rStyle w:val="Accentuation"/>
        </w:rPr>
        <w:t>systèmes productifs localisés</w:t>
      </w:r>
      <w:r w:rsidRPr="00CF0494">
        <w:t xml:space="preserve">, </w:t>
      </w:r>
      <w:r>
        <w:t>la démarche analytique vise généralement la compréhension des dynamiques territoriales à l’</w:t>
      </w:r>
      <w:r w:rsidR="00340134">
        <w:t>œuvre</w:t>
      </w:r>
      <w:r>
        <w:t>. L’attention se portant sur la transformation des activités face à aux contraintes et possibilités nouvelles auxquelles ces systèmes sont confrontés. La démarche analytique s’articule alors autour d’un thème majeur : celui des capacités d’innovation, d’adaptation et de transformation des territoires d’entreprises.</w:t>
      </w:r>
    </w:p>
    <w:p w:rsidR="00B67CF2" w:rsidRDefault="00B67CF2" w:rsidP="00A07AFC">
      <w:pPr>
        <w:pStyle w:val="Corpsdetexte"/>
      </w:pPr>
      <w:r>
        <w:t>Pourtant, si les approches en l’Économie Régionale rendent bien compte de la grande diversité de ces systèmes productifs localisés « </w:t>
      </w:r>
      <w:r w:rsidRPr="008714C2">
        <w:rPr>
          <w:rStyle w:val="Accentuation"/>
        </w:rPr>
        <w:t xml:space="preserve">globalement, nous sommes </w:t>
      </w:r>
      <w:r w:rsidRPr="008714C2">
        <w:rPr>
          <w:rStyle w:val="Accentuation"/>
        </w:rPr>
        <w:lastRenderedPageBreak/>
        <w:t xml:space="preserve">confrontés à des cas favorables qui ne disent pas </w:t>
      </w:r>
      <w:r w:rsidR="00340134" w:rsidRPr="008714C2">
        <w:rPr>
          <w:rStyle w:val="Accentuation"/>
        </w:rPr>
        <w:t>grand-chose</w:t>
      </w:r>
      <w:r w:rsidRPr="008714C2">
        <w:rPr>
          <w:rStyle w:val="Accentuation"/>
        </w:rPr>
        <w:t xml:space="preserve"> pour les situations difficiles, en particulier pour les espaces ruraux non industrialisés</w:t>
      </w:r>
      <w:r>
        <w:t> »</w:t>
      </w:r>
      <w:r>
        <w:rPr>
          <w:rStyle w:val="Appelnotedebasdep"/>
          <w:sz w:val="22"/>
        </w:rPr>
        <w:footnoteReference w:id="7"/>
      </w:r>
      <w:r>
        <w:t>.</w:t>
      </w:r>
    </w:p>
    <w:p w:rsidR="00B67CF2" w:rsidRDefault="00B67CF2" w:rsidP="00A07AFC">
      <w:pPr>
        <w:pStyle w:val="Corpsdetexte"/>
      </w:pPr>
      <w:r>
        <w:t xml:space="preserve">Une </w:t>
      </w:r>
      <w:r w:rsidR="00984F94">
        <w:t>réflexion</w:t>
      </w:r>
      <w:r>
        <w:t xml:space="preserve"> portant sur la traduction de cette problématique en opérations concrètes au service d’une politique locale de développement plus que jamais reste d’actualité.</w:t>
      </w:r>
    </w:p>
    <w:p w:rsidR="00B67CF2" w:rsidRDefault="00B67CF2" w:rsidP="002C7BAC">
      <w:pPr>
        <w:pStyle w:val="Titre2"/>
      </w:pPr>
      <w:bookmarkStart w:id="11" w:name="_Toc333377543"/>
      <w:bookmarkStart w:id="12" w:name="_Toc336716598"/>
      <w:bookmarkStart w:id="13" w:name="_Toc398658414"/>
      <w:r>
        <w:t>Orientation de recherche</w:t>
      </w:r>
      <w:bookmarkEnd w:id="11"/>
      <w:r>
        <w:t>. Un guide pour articuler théorie et pratique</w:t>
      </w:r>
      <w:bookmarkEnd w:id="12"/>
      <w:bookmarkEnd w:id="13"/>
    </w:p>
    <w:p w:rsidR="00B67CF2" w:rsidRDefault="00B67CF2" w:rsidP="00A07AFC">
      <w:pPr>
        <w:pStyle w:val="Corpsdetexte"/>
      </w:pPr>
      <w:r>
        <w:t>Le lecteur l’aura compris, nous souhaitons privilégier une orientation recherchant des articulations théorie/pratique</w:t>
      </w:r>
      <w:r>
        <w:rPr>
          <w:rStyle w:val="Appelnotedebasdep"/>
          <w:sz w:val="22"/>
        </w:rPr>
        <w:footnoteReference w:id="8"/>
      </w:r>
      <w:r>
        <w:t>. Pour souligner ici l’importance que nous accordons à cette approche, nous rappellerons que la majorité des praticiens du développement local « </w:t>
      </w:r>
      <w:r w:rsidRPr="008714C2">
        <w:rPr>
          <w:rStyle w:val="Accentuation"/>
        </w:rPr>
        <w:t>affirment qu’une des difficultés de leur action tient à l’urgence qu’il y a à traiter au jour le jour les problèmes. L’action est découpée trop souvent en séquences. Il manque une recherche pluridisciplinaire qui apporterait des éléments de méthode pour aborder le développement local comme un projet global et pour aider à la décision</w:t>
      </w:r>
      <w:r>
        <w:t> »</w:t>
      </w:r>
      <w:r>
        <w:rPr>
          <w:rStyle w:val="Appelnotedebasdep"/>
          <w:sz w:val="22"/>
        </w:rPr>
        <w:footnoteReference w:id="9"/>
      </w:r>
      <w:r w:rsidR="00A07AFC">
        <w:t>.</w:t>
      </w:r>
    </w:p>
    <w:p w:rsidR="00B67CF2" w:rsidRDefault="00B67CF2" w:rsidP="00A07AFC">
      <w:pPr>
        <w:pStyle w:val="Corpsdetexte"/>
      </w:pPr>
      <w:r>
        <w:t>De ce point de vue, les échecs ou demi-succès des expériences passées pèsent lourdement en faveur de l’élaboration d’un schéma ou d’un modèle analytique général. Ce schéma se devra d’être applicable à un large spectre d’espaces socio-économiques locaux ainsi qu’à différents types de trajectoires de développement. Le canevas analytique ainsi élaboré permettrait au moins une orientation minimale des actions d’accompagnement sur le terrain des programmes de développement local.</w:t>
      </w:r>
    </w:p>
    <w:p w:rsidR="00F42EAB" w:rsidRDefault="00B67CF2" w:rsidP="00A07AFC">
      <w:pPr>
        <w:pStyle w:val="Corpsdetexte"/>
      </w:pPr>
      <w:r>
        <w:t xml:space="preserve">Cette position optimiste de notre problématique de départ ne nous fera toutefois pas oublier que son seul intérêt réside justement dans sa capacité à générer des </w:t>
      </w:r>
      <w:r>
        <w:lastRenderedPageBreak/>
        <w:t xml:space="preserve">propositions concrètes permettant la définition et la mise en </w:t>
      </w:r>
      <w:r w:rsidR="00C826F6">
        <w:t xml:space="preserve">œuvre </w:t>
      </w:r>
      <w:r>
        <w:t>de ces programmes de développement à partir d’un corpus théorique cohérent.</w:t>
      </w:r>
    </w:p>
    <w:p w:rsidR="00B67CF2" w:rsidRDefault="00B67CF2" w:rsidP="00A07AFC">
      <w:pPr>
        <w:pStyle w:val="Corpsdetexte"/>
      </w:pPr>
      <w:r>
        <w:t xml:space="preserve">Or, lorsque l’on s’intéresse au </w:t>
      </w:r>
      <w:r w:rsidRPr="00A61BD2">
        <w:rPr>
          <w:rStyle w:val="ACCGRAS"/>
        </w:rPr>
        <w:t>local</w:t>
      </w:r>
      <w:r>
        <w:t xml:space="preserve">, on oscille généralement entre trois attitudes s’opposant fortement et dont les </w:t>
      </w:r>
      <w:r w:rsidRPr="00A61BD2">
        <w:rPr>
          <w:rStyle w:val="ACCGRAS"/>
        </w:rPr>
        <w:t>tiraillem</w:t>
      </w:r>
      <w:bookmarkStart w:id="14" w:name="_GoBack"/>
      <w:bookmarkEnd w:id="14"/>
      <w:r w:rsidRPr="00A61BD2">
        <w:rPr>
          <w:rStyle w:val="ACCGRAS"/>
        </w:rPr>
        <w:t>ents</w:t>
      </w:r>
      <w:r>
        <w:t xml:space="preserve"> rendent difficiles l’élaboration et la mise en cohérence d’un ensemble théorique prédictif orienté vers une pratique quotidienne de terrain :</w:t>
      </w:r>
    </w:p>
    <w:p w:rsidR="00B67CF2" w:rsidRDefault="00B67CF2" w:rsidP="008714C2">
      <w:pPr>
        <w:pStyle w:val="Listepuces"/>
        <w:tabs>
          <w:tab w:val="num" w:pos="1420"/>
        </w:tabs>
      </w:pPr>
      <w:r>
        <w:t>ou bien on tente de dessiner progressivement un champ d’étude cohérent et homogène, en puisant dans la panoplie conceptuelle de disciplines voisines (histoire, géographie, ethnologie, linguistique, sociologie etc.) et l’on risque alors de dissoudre la réflexion et l’argumentation dans une accumulation de données hétérogènes, construites dans des contextes épistémologiques différents ;</w:t>
      </w:r>
    </w:p>
    <w:p w:rsidR="00B67CF2" w:rsidRDefault="00B67CF2" w:rsidP="008714C2">
      <w:pPr>
        <w:pStyle w:val="Listepuces"/>
        <w:tabs>
          <w:tab w:val="num" w:pos="1420"/>
        </w:tabs>
      </w:pPr>
      <w:r>
        <w:t xml:space="preserve">ou bien on s’en remet, par commodité, à des constructions conceptuelles issues de la statistique, de type </w:t>
      </w:r>
      <w:r w:rsidRPr="008714C2">
        <w:rPr>
          <w:rStyle w:val="Accentuation"/>
        </w:rPr>
        <w:t>bassin d’emploi</w:t>
      </w:r>
      <w:r>
        <w:t xml:space="preserve">, </w:t>
      </w:r>
      <w:r w:rsidRPr="008714C2">
        <w:rPr>
          <w:rStyle w:val="Accentuation"/>
        </w:rPr>
        <w:t>zone d’influence</w:t>
      </w:r>
      <w:r>
        <w:t xml:space="preserve">, ou </w:t>
      </w:r>
      <w:r w:rsidRPr="008714C2">
        <w:rPr>
          <w:rStyle w:val="Accentuation"/>
        </w:rPr>
        <w:t>pôle d’attraction</w:t>
      </w:r>
      <w:r>
        <w:t xml:space="preserve"> qui permettent de rendre opératoire la notion de territoire, mais qui débouchent sur un découpage fortement contraignant et évidemment réducteur des fonctionnements locaux ;</w:t>
      </w:r>
    </w:p>
    <w:p w:rsidR="00B67CF2" w:rsidRDefault="00B67CF2" w:rsidP="008714C2">
      <w:pPr>
        <w:pStyle w:val="Listepuces"/>
        <w:tabs>
          <w:tab w:val="num" w:pos="1420"/>
        </w:tabs>
      </w:pPr>
      <w:r>
        <w:t xml:space="preserve">ou enfin, on se soumet au déterminisme épistémologique en se bornant à interpréter </w:t>
      </w:r>
      <w:r w:rsidRPr="008714C2">
        <w:rPr>
          <w:rStyle w:val="Accentuation"/>
        </w:rPr>
        <w:t>conceptuellement</w:t>
      </w:r>
      <w:r>
        <w:t xml:space="preserve"> à partir de modèles souvent unidimensionnels, souvent économiques, des mécanismes qui procèdent de réalités locales multiples, hétérogènes, parfois contradictoires et en tout état de cause toujours uniques et évolutives...</w:t>
      </w:r>
    </w:p>
    <w:p w:rsidR="00B67CF2" w:rsidRDefault="00B67CF2" w:rsidP="00A07AFC">
      <w:pPr>
        <w:pStyle w:val="Corpsdetexte"/>
      </w:pPr>
      <w:r>
        <w:t xml:space="preserve">On le pressent, la voie est étroite entre le réductionnisme théorique et la manipulation opportuniste. Mais, plus que dans une recherche de la </w:t>
      </w:r>
      <w:r w:rsidRPr="008714C2">
        <w:rPr>
          <w:rStyle w:val="Accentuation"/>
        </w:rPr>
        <w:t>meilleure voie possible</w:t>
      </w:r>
      <w:r>
        <w:t xml:space="preserve"> permettant d’impulser des dynamiques locales de développement, l’urgence ne réside-t-elle pas avant tout dans une explicitation des clés utilisées à l’élaboration, la programmation et le pilotage des politiques d’appui ?</w:t>
      </w:r>
    </w:p>
    <w:p w:rsidR="00F42EAB" w:rsidRDefault="00B67CF2" w:rsidP="00A07AFC">
      <w:pPr>
        <w:pStyle w:val="Corpsdetexte"/>
      </w:pPr>
      <w:r>
        <w:t>Tenter de reprendre à notre compte cette interrogation nous amène à nous confronter à un double enjeu qui va contraindre notre champ d’étude et orienter l’objet de notre recherche :</w:t>
      </w:r>
    </w:p>
    <w:p w:rsidR="00B67CF2" w:rsidRDefault="00B67CF2" w:rsidP="008714C2">
      <w:pPr>
        <w:pStyle w:val="Listepuces"/>
        <w:tabs>
          <w:tab w:val="num" w:pos="1420"/>
        </w:tabs>
      </w:pPr>
      <w:r>
        <w:t xml:space="preserve">il doit s’agir d’une analyse pragmatique visant au choix d’un outil conceptuel, de nature méso-économique, qui doit permettre l’investigation </w:t>
      </w:r>
      <w:r>
        <w:lastRenderedPageBreak/>
        <w:t>et la compréhension des territoires de petites entreprises artisanales et productives en milieu rural ;</w:t>
      </w:r>
    </w:p>
    <w:p w:rsidR="00B67CF2" w:rsidRDefault="00B67CF2" w:rsidP="008714C2">
      <w:pPr>
        <w:pStyle w:val="Listepuces"/>
        <w:tabs>
          <w:tab w:val="num" w:pos="1420"/>
        </w:tabs>
      </w:pPr>
      <w:r>
        <w:t>l’on doit privilégier une analyse en termes de systèmes permettant de prendre en compte de multiples aspects territoriaux (politiques, productifs, sociaux...) et de souligner les potentialités d’une approche tenant compte simultanément de ces formes diverses de territorialité.</w:t>
      </w:r>
    </w:p>
    <w:p w:rsidR="00F42EAB" w:rsidRDefault="00B67CF2" w:rsidP="00A07AFC">
      <w:pPr>
        <w:pStyle w:val="Corpsdetexte"/>
      </w:pPr>
      <w:r>
        <w:t>L’objectif est donc de (</w:t>
      </w:r>
      <w:proofErr w:type="spellStart"/>
      <w:r>
        <w:t>re</w:t>
      </w:r>
      <w:proofErr w:type="spellEnd"/>
      <w:r>
        <w:t xml:space="preserve">)trouver une approche synthétique qui dirait si les </w:t>
      </w:r>
      <w:r w:rsidRPr="008714C2">
        <w:rPr>
          <w:rStyle w:val="Accentuation"/>
        </w:rPr>
        <w:t>acteurs productifs</w:t>
      </w:r>
      <w:r>
        <w:t xml:space="preserve"> que ciblent ces actions de développement local, acteurs pourtant si différents les uns des autres, ont quelques intérêts à retirer d’une réflexion globale portant sur leurs situations, leurs attentes et leur devenir commun, tout en gardant à l’esprit que « </w:t>
      </w:r>
      <w:r w:rsidRPr="008714C2">
        <w:rPr>
          <w:rStyle w:val="Accentuation"/>
        </w:rPr>
        <w:t xml:space="preserve">toute construction théorique doit bien accepter des détours, des simplifications excessives, ou </w:t>
      </w:r>
      <w:proofErr w:type="spellStart"/>
      <w:r w:rsidRPr="008714C2">
        <w:rPr>
          <w:rStyle w:val="Accentuation"/>
        </w:rPr>
        <w:t>généralisantes</w:t>
      </w:r>
      <w:proofErr w:type="spellEnd"/>
      <w:r w:rsidRPr="008714C2">
        <w:rPr>
          <w:rStyle w:val="Accentuation"/>
        </w:rPr>
        <w:t>.(...) Cela explique que pour le moment, nous procédions surtout par grandes hypothèses et typologies extrêmes dont on sait bien la portée éclairante mais aussi la validité partielle. On avance souvent par métaphores,(...) et on tente une théorisation pour espérer une loi ou un modèle général</w:t>
      </w:r>
      <w:r>
        <w:t> »</w:t>
      </w:r>
      <w:r>
        <w:rPr>
          <w:rStyle w:val="Appelnotedebasdep"/>
          <w:sz w:val="22"/>
        </w:rPr>
        <w:footnoteReference w:id="10"/>
      </w:r>
      <w:r>
        <w:t>.</w:t>
      </w:r>
    </w:p>
    <w:p w:rsidR="00B67CF2" w:rsidRDefault="00B67CF2" w:rsidP="00A07AFC">
      <w:pPr>
        <w:pStyle w:val="Corpsdetexte"/>
      </w:pPr>
      <w:r>
        <w:t>Ce type d’analyse suppose donc logiquement la prise en considération de l’objet étudié comme un tout indissociable et impliquant non seulement la sphère économique et industrielle, mais aussi sociale, culturelle et institutionnelle. Mais n’</w:t>
      </w:r>
      <w:proofErr w:type="spellStart"/>
      <w:r>
        <w:t>est ce</w:t>
      </w:r>
      <w:proofErr w:type="spellEnd"/>
      <w:r>
        <w:t xml:space="preserve"> pas ce à quoi faisait référence A. Marshall lorsqu’il parlait </w:t>
      </w:r>
      <w:r w:rsidRPr="008714C2">
        <w:rPr>
          <w:rStyle w:val="Accentuation"/>
        </w:rPr>
        <w:t>d’atmosphère industrielle </w:t>
      </w:r>
      <w:r>
        <w:t>?</w:t>
      </w:r>
    </w:p>
    <w:p w:rsidR="00E93814" w:rsidRDefault="00E93814" w:rsidP="00A07AFC">
      <w:pPr>
        <w:pStyle w:val="Corpsdetexte"/>
      </w:pPr>
    </w:p>
    <w:p w:rsidR="00B67CF2" w:rsidRDefault="00D25A31" w:rsidP="008714C2">
      <w:pPr>
        <w:pStyle w:val="Titre1"/>
      </w:pPr>
      <w:bookmarkStart w:id="15" w:name="_Toc333377546"/>
      <w:bookmarkStart w:id="16" w:name="_Toc336716599"/>
      <w:bookmarkStart w:id="17" w:name="_Toc398658415"/>
      <w:r>
        <w:lastRenderedPageBreak/>
        <w:t>L</w:t>
      </w:r>
      <w:r w:rsidR="00B67CF2">
        <w:t xml:space="preserve">es </w:t>
      </w:r>
      <w:bookmarkEnd w:id="15"/>
      <w:r w:rsidR="00B67CF2">
        <w:t>petites entreprises</w:t>
      </w:r>
      <w:r w:rsidR="00D65C0F">
        <w:t> :</w:t>
      </w:r>
      <w:r w:rsidR="00B67CF2">
        <w:t xml:space="preserve"> poids économique et position politique</w:t>
      </w:r>
      <w:bookmarkEnd w:id="16"/>
      <w:bookmarkEnd w:id="17"/>
    </w:p>
    <w:p w:rsidR="00B67CF2" w:rsidRDefault="00B67CF2" w:rsidP="002C7BAC">
      <w:pPr>
        <w:pStyle w:val="Titre2"/>
      </w:pPr>
      <w:bookmarkStart w:id="18" w:name="_Toc333377547"/>
      <w:bookmarkStart w:id="19" w:name="_Toc336716600"/>
      <w:bookmarkStart w:id="20" w:name="_Toc398658416"/>
      <w:r>
        <w:t>Le poids économique des petites entreprises en Europe</w:t>
      </w:r>
      <w:bookmarkEnd w:id="18"/>
      <w:bookmarkEnd w:id="19"/>
      <w:bookmarkEnd w:id="20"/>
    </w:p>
    <w:p w:rsidR="00B67CF2" w:rsidRDefault="00B67CF2" w:rsidP="00A07AFC">
      <w:pPr>
        <w:pStyle w:val="Corpsdetexte"/>
      </w:pPr>
      <w:r>
        <w:t>La meilleure vue d’ensemble des entreprises en Europe peut être trouvée dans le second rapport conjoint de la DG XXIII (direction des services de la Commission Européenne chargée de la politique d’entreprise) et de l’Office européen des statistiques Eurostat.</w:t>
      </w:r>
      <w:r>
        <w:rPr>
          <w:rStyle w:val="Appelnotedebasdep"/>
          <w:sz w:val="22"/>
        </w:rPr>
        <w:footnoteReference w:id="11"/>
      </w:r>
    </w:p>
    <w:p w:rsidR="00F42EAB" w:rsidRDefault="00B67CF2" w:rsidP="00A07AFC">
      <w:pPr>
        <w:pStyle w:val="Corpsdetexte"/>
      </w:pPr>
      <w:r>
        <w:t>Ce document, paru en 1992, i</w:t>
      </w:r>
      <w:r w:rsidR="00156E75">
        <w:t xml:space="preserve">ntitulé « </w:t>
      </w:r>
      <w:proofErr w:type="spellStart"/>
      <w:r w:rsidR="00156E75">
        <w:t>Enterprises</w:t>
      </w:r>
      <w:proofErr w:type="spellEnd"/>
      <w:r w:rsidR="00156E75">
        <w:t xml:space="preserve"> in Europe</w:t>
      </w:r>
      <w:r>
        <w:t>, » rassemble les données chiffrées collectées auprès des différents organismes nationaux de statistiques. Il a été complété en mai 1993 par la publication du premier rapport de l’Observatoire Européen des PME (</w:t>
      </w:r>
      <w:proofErr w:type="spellStart"/>
      <w:r>
        <w:t>European</w:t>
      </w:r>
      <w:proofErr w:type="spellEnd"/>
      <w:r>
        <w:t xml:space="preserve"> </w:t>
      </w:r>
      <w:proofErr w:type="spellStart"/>
      <w:r>
        <w:t>Observatory</w:t>
      </w:r>
      <w:proofErr w:type="spellEnd"/>
      <w:r>
        <w:t xml:space="preserve"> for </w:t>
      </w:r>
      <w:proofErr w:type="spellStart"/>
      <w:r>
        <w:t>SMEs</w:t>
      </w:r>
      <w:proofErr w:type="spellEnd"/>
      <w:r>
        <w:t>), qui travaille lui-même sous l’égide de la DG XXIII.</w:t>
      </w:r>
    </w:p>
    <w:p w:rsidR="00B67CF2" w:rsidRPr="008C3C54" w:rsidRDefault="00B67CF2" w:rsidP="00A07AFC">
      <w:pPr>
        <w:pStyle w:val="Titre3"/>
      </w:pPr>
      <w:bookmarkStart w:id="21" w:name="_Toc336716601"/>
      <w:bookmarkStart w:id="22" w:name="_Toc398658417"/>
      <w:r w:rsidRPr="008C3C54">
        <w:t>Le poids relatif des petites entreprises dans la Communauté Européenne</w:t>
      </w:r>
      <w:bookmarkEnd w:id="21"/>
      <w:bookmarkEnd w:id="22"/>
    </w:p>
    <w:p w:rsidR="00F42EAB" w:rsidRDefault="00B67CF2" w:rsidP="00A07AFC">
      <w:pPr>
        <w:pStyle w:val="Corpsdetexte"/>
      </w:pPr>
      <w:r>
        <w:t>D’après le rapport, en 1990, la Communauté comptait 15,8 millions d’entreprises privées (hors secteur de l’agriculture et de la pêche), qui se répartissent en 13.000 grandes entreprises de 500 salaries ou plus, 70.000 entreprises moyennes (de 100 à 499 salariés), 970.000 petites entreprises (de 10 à 99 salariés), le reste étant constitué de TPE (de 0 à 9 salariés). Ainsi, plus de 99,9</w:t>
      </w:r>
      <w:r w:rsidR="005E0833">
        <w:t xml:space="preserve"> %</w:t>
      </w:r>
      <w:r>
        <w:t xml:space="preserve"> des entreprises entrent dans la catégorie des PME. Dans leur écrasante majorité, ces PME sont des </w:t>
      </w:r>
      <w:r w:rsidR="000676CD" w:rsidRPr="008714C2">
        <w:rPr>
          <w:rStyle w:val="Accentuation"/>
        </w:rPr>
        <w:t>microentreprises</w:t>
      </w:r>
      <w:r>
        <w:t xml:space="preserve"> (moins de 10 salariés). On en dénombr</w:t>
      </w:r>
      <w:r w:rsidR="00156E75">
        <w:t>e en 1990 environ 14.7 millions,</w:t>
      </w:r>
      <w:r>
        <w:t xml:space="preserve"> dont près de la moitié (environ 7 millions) </w:t>
      </w:r>
      <w:r w:rsidR="00156E75">
        <w:t>n’avait</w:t>
      </w:r>
      <w:r>
        <w:t xml:space="preserve"> aucun salarié.</w:t>
      </w:r>
    </w:p>
    <w:p w:rsidR="00F42EAB" w:rsidRDefault="00B67CF2" w:rsidP="00A07AFC">
      <w:pPr>
        <w:pStyle w:val="Corpsdetexte"/>
      </w:pPr>
      <w:r>
        <w:t xml:space="preserve">Entre 1988 et 1993 les petites entreprises et les </w:t>
      </w:r>
      <w:r w:rsidR="000676CD">
        <w:t>microentreprises</w:t>
      </w:r>
      <w:r>
        <w:t xml:space="preserve"> (0-99 salariés) ont créé 3 millions d’emplois dont un tiers est le fait d’entreprises nouvelles, surtout dans les secteurs de la distribution et des services. Elles emploient désormais quelque 53 millions de personnes.</w:t>
      </w:r>
    </w:p>
    <w:p w:rsidR="00B67CF2" w:rsidRDefault="00B67CF2" w:rsidP="00A07AFC">
      <w:pPr>
        <w:pStyle w:val="Corpsdetexte"/>
      </w:pPr>
      <w:r>
        <w:lastRenderedPageBreak/>
        <w:t>Dans l’ensemble de la Communauté, les TPE</w:t>
      </w:r>
      <w:r>
        <w:rPr>
          <w:rStyle w:val="Appelnotedebasdep"/>
          <w:sz w:val="22"/>
        </w:rPr>
        <w:footnoteReference w:id="12"/>
      </w:r>
      <w:r>
        <w:t xml:space="preserve"> et PME emploient entre 65 et 80</w:t>
      </w:r>
      <w:r w:rsidR="005E0833">
        <w:t xml:space="preserve"> %</w:t>
      </w:r>
      <w:r>
        <w:t xml:space="preserve"> de la </w:t>
      </w:r>
      <w:r w:rsidR="000676CD">
        <w:t>main-d’</w:t>
      </w:r>
      <w:r w:rsidR="00C826F6">
        <w:t xml:space="preserve">œuvre </w:t>
      </w:r>
      <w:r>
        <w:t>des entreprises non agricoles, la plupart des pays se situant autour de 70</w:t>
      </w:r>
      <w:r w:rsidR="005E0833">
        <w:t xml:space="preserve"> %</w:t>
      </w:r>
      <w:r>
        <w:t>.</w:t>
      </w:r>
    </w:p>
    <w:p w:rsidR="00B67CF2" w:rsidRDefault="00B67CF2" w:rsidP="00A07AFC">
      <w:pPr>
        <w:pStyle w:val="Corpsdetexte"/>
      </w:pPr>
      <w:r>
        <w:t xml:space="preserve">Les </w:t>
      </w:r>
      <w:r w:rsidR="000676CD">
        <w:t>microentreprises</w:t>
      </w:r>
      <w:r>
        <w:t xml:space="preserve"> fournissent en moyenne 30</w:t>
      </w:r>
      <w:r w:rsidR="005E0833">
        <w:t xml:space="preserve"> %</w:t>
      </w:r>
      <w:r>
        <w:t xml:space="preserve"> des emplois. Les limites hautes sont représentées par l’Italie et la Grèce (47 et 59</w:t>
      </w:r>
      <w:r w:rsidR="005E0833">
        <w:t xml:space="preserve"> %</w:t>
      </w:r>
      <w:r>
        <w:t>, avec des réserves sur les statistiques de la Grèce), et la limite basse par l’Allemagne (17</w:t>
      </w:r>
      <w:r w:rsidR="005E0833">
        <w:t xml:space="preserve"> %</w:t>
      </w:r>
      <w:r>
        <w:t>).</w:t>
      </w:r>
    </w:p>
    <w:p w:rsidR="00B67CF2" w:rsidRDefault="00B67CF2" w:rsidP="00A07AFC">
      <w:pPr>
        <w:pStyle w:val="Corpsdetexte"/>
      </w:pPr>
      <w:r>
        <w:t>Ce dernier pays affiche donc un taux d’emploi dans les TPE inférieur de 11 points à celui de la France : 17</w:t>
      </w:r>
      <w:r w:rsidR="005E0833">
        <w:t xml:space="preserve"> %</w:t>
      </w:r>
      <w:r>
        <w:t xml:space="preserve"> contre 28</w:t>
      </w:r>
      <w:r w:rsidR="005E0833">
        <w:t xml:space="preserve"> %</w:t>
      </w:r>
      <w:r>
        <w:t>. Il comble ensuite cette différence à tous les niveaux de tranches, plus 4 points sur les petites entreprises (10-99), plus 4 points sur les moyennes (100-499), plus 3 points sur les grandes (500 et plus). Notamment, l’Allemagne et le Danemark sont les deux pays qui ont le plus fort taux d’emplois dans les entreprises de 10 à 99 salariés. On peut également remarquer qu’au niveau des 100-499, la France présente une faiblesse particulière, comparée à l’Allemagne ou à l’Angleterre, ce qui pour la France, réduit d’autant les chances de réussite des politiques de développement fondées sur les effets d’entraînement des unités productives importantes.</w:t>
      </w:r>
    </w:p>
    <w:p w:rsidR="00B67CF2" w:rsidRDefault="00B67CF2" w:rsidP="00A07AFC">
      <w:pPr>
        <w:pStyle w:val="Corpsdetexte"/>
      </w:pPr>
      <w:r>
        <w:t>Le graphique I présente le poids des petites entreprises des pays membres (données 1992).</w:t>
      </w:r>
    </w:p>
    <w:p w:rsidR="00B67CF2" w:rsidRPr="008C3C54" w:rsidRDefault="00B67CF2" w:rsidP="00A07AFC">
      <w:pPr>
        <w:pStyle w:val="Titre3"/>
      </w:pPr>
      <w:bookmarkStart w:id="23" w:name="_Toc336716602"/>
      <w:bookmarkStart w:id="24" w:name="_Toc398658418"/>
      <w:r w:rsidRPr="008C3C54">
        <w:t>Taille moyenne des TPE</w:t>
      </w:r>
      <w:bookmarkEnd w:id="23"/>
      <w:bookmarkEnd w:id="24"/>
    </w:p>
    <w:p w:rsidR="00B67CF2" w:rsidRDefault="00B67CF2" w:rsidP="00A07AFC">
      <w:pPr>
        <w:pStyle w:val="Corpsdetexte"/>
      </w:pPr>
      <w:r>
        <w:t>Comme le montre également la répartition des moyennes entre secteurs économiques et TPE dans quelques grands pays de la Communauté, la taille moyenne des TPE, autour de 2 employés, apparaît à peu près égale dans tous les secteurs.</w:t>
      </w:r>
    </w:p>
    <w:p w:rsidR="00B67CF2" w:rsidRPr="00E77563" w:rsidRDefault="00E77563" w:rsidP="00E77563">
      <w:pPr>
        <w:pStyle w:val="TABLEAULEGENDE"/>
      </w:pPr>
      <w:r>
        <w:rPr>
          <w:rStyle w:val="Accentuation"/>
        </w:rPr>
        <w:br w:type="page"/>
      </w:r>
      <w:r w:rsidR="00B67CF2" w:rsidRPr="00E77563">
        <w:lastRenderedPageBreak/>
        <w:t>Tailles moyennes des TPE (nombre moyen de salariés)</w:t>
      </w:r>
    </w:p>
    <w:tbl>
      <w:tblPr>
        <w:tblW w:w="4549" w:type="pct"/>
        <w:tblInd w:w="779" w:type="dxa"/>
        <w:tblCellMar>
          <w:left w:w="70" w:type="dxa"/>
          <w:right w:w="70" w:type="dxa"/>
        </w:tblCellMar>
        <w:tblLook w:val="00A0" w:firstRow="1" w:lastRow="0" w:firstColumn="1" w:lastColumn="0" w:noHBand="0" w:noVBand="0"/>
      </w:tblPr>
      <w:tblGrid>
        <w:gridCol w:w="1622"/>
        <w:gridCol w:w="1667"/>
        <w:gridCol w:w="2043"/>
        <w:gridCol w:w="2378"/>
      </w:tblGrid>
      <w:tr w:rsidR="00B67CF2">
        <w:tc>
          <w:tcPr>
            <w:tcW w:w="1051" w:type="pct"/>
            <w:tcBorders>
              <w:top w:val="single" w:sz="12" w:space="0" w:color="000000"/>
              <w:left w:val="single" w:sz="12" w:space="0" w:color="000000"/>
              <w:bottom w:val="single" w:sz="6" w:space="0" w:color="000000"/>
              <w:right w:val="single" w:sz="6" w:space="0" w:color="000000"/>
            </w:tcBorders>
          </w:tcPr>
          <w:p w:rsidR="00B67CF2" w:rsidRPr="00E77563" w:rsidRDefault="00B67CF2" w:rsidP="00D25A31">
            <w:pPr>
              <w:pStyle w:val="Titretableau"/>
            </w:pPr>
            <w:r w:rsidRPr="00E77563">
              <w:t>1988</w:t>
            </w:r>
          </w:p>
        </w:tc>
        <w:tc>
          <w:tcPr>
            <w:tcW w:w="1081" w:type="pct"/>
            <w:tcBorders>
              <w:top w:val="single" w:sz="12" w:space="0" w:color="000000"/>
              <w:left w:val="single" w:sz="6" w:space="0" w:color="000000"/>
              <w:bottom w:val="single" w:sz="6" w:space="0" w:color="000000"/>
              <w:right w:val="single" w:sz="6" w:space="0" w:color="000000"/>
            </w:tcBorders>
          </w:tcPr>
          <w:p w:rsidR="00B67CF2" w:rsidRPr="00E77563" w:rsidRDefault="00B67CF2" w:rsidP="00D25A31">
            <w:pPr>
              <w:pStyle w:val="Titretableau"/>
            </w:pPr>
            <w:r w:rsidRPr="00E77563">
              <w:t>France</w:t>
            </w:r>
          </w:p>
        </w:tc>
        <w:tc>
          <w:tcPr>
            <w:tcW w:w="1325" w:type="pct"/>
            <w:tcBorders>
              <w:top w:val="single" w:sz="12" w:space="0" w:color="000000"/>
              <w:left w:val="single" w:sz="6" w:space="0" w:color="000000"/>
              <w:bottom w:val="single" w:sz="6" w:space="0" w:color="000000"/>
              <w:right w:val="single" w:sz="6" w:space="0" w:color="000000"/>
            </w:tcBorders>
          </w:tcPr>
          <w:p w:rsidR="00B67CF2" w:rsidRPr="00E77563" w:rsidRDefault="00B67CF2" w:rsidP="00D25A31">
            <w:pPr>
              <w:pStyle w:val="Titretableau"/>
            </w:pPr>
            <w:r w:rsidRPr="00E77563">
              <w:t>Allemagne</w:t>
            </w:r>
          </w:p>
        </w:tc>
        <w:tc>
          <w:tcPr>
            <w:tcW w:w="1542" w:type="pct"/>
            <w:tcBorders>
              <w:top w:val="single" w:sz="12" w:space="0" w:color="000000"/>
              <w:left w:val="single" w:sz="6" w:space="0" w:color="000000"/>
              <w:bottom w:val="single" w:sz="6" w:space="0" w:color="000000"/>
              <w:right w:val="single" w:sz="12" w:space="0" w:color="000000"/>
            </w:tcBorders>
          </w:tcPr>
          <w:p w:rsidR="00B67CF2" w:rsidRPr="00E77563" w:rsidRDefault="00B67CF2" w:rsidP="00D25A31">
            <w:pPr>
              <w:pStyle w:val="Titretableau"/>
            </w:pPr>
            <w:r w:rsidRPr="00E77563">
              <w:t>Royaume-Uni</w:t>
            </w:r>
          </w:p>
        </w:tc>
      </w:tr>
      <w:tr w:rsidR="00B67CF2">
        <w:tc>
          <w:tcPr>
            <w:tcW w:w="1051" w:type="pct"/>
            <w:tcBorders>
              <w:left w:val="single" w:sz="12" w:space="0" w:color="000000"/>
              <w:right w:val="single" w:sz="6" w:space="0" w:color="000000"/>
            </w:tcBorders>
          </w:tcPr>
          <w:p w:rsidR="00B67CF2" w:rsidRDefault="00B67CF2" w:rsidP="00D25A31">
            <w:pPr>
              <w:pStyle w:val="Titretableau"/>
            </w:pPr>
            <w:r>
              <w:t>Industrie</w:t>
            </w:r>
          </w:p>
        </w:tc>
        <w:tc>
          <w:tcPr>
            <w:tcW w:w="1081" w:type="pct"/>
            <w:tcBorders>
              <w:left w:val="single" w:sz="6" w:space="0" w:color="000000"/>
              <w:right w:val="single" w:sz="6" w:space="0" w:color="000000"/>
            </w:tcBorders>
          </w:tcPr>
          <w:p w:rsidR="00B67CF2" w:rsidRDefault="00B67CF2" w:rsidP="00E77563">
            <w:pPr>
              <w:pStyle w:val="Textetableau"/>
            </w:pPr>
            <w:r>
              <w:t>3,1</w:t>
            </w:r>
          </w:p>
        </w:tc>
        <w:tc>
          <w:tcPr>
            <w:tcW w:w="1325" w:type="pct"/>
            <w:tcBorders>
              <w:left w:val="single" w:sz="6" w:space="0" w:color="000000"/>
              <w:right w:val="single" w:sz="6" w:space="0" w:color="000000"/>
            </w:tcBorders>
          </w:tcPr>
          <w:p w:rsidR="00B67CF2" w:rsidRDefault="00B67CF2" w:rsidP="00E77563">
            <w:pPr>
              <w:pStyle w:val="Textetableau"/>
            </w:pPr>
            <w:r>
              <w:t>2,3</w:t>
            </w:r>
          </w:p>
        </w:tc>
        <w:tc>
          <w:tcPr>
            <w:tcW w:w="1542" w:type="pct"/>
            <w:tcBorders>
              <w:left w:val="single" w:sz="6" w:space="0" w:color="000000"/>
              <w:right w:val="single" w:sz="12" w:space="0" w:color="000000"/>
            </w:tcBorders>
          </w:tcPr>
          <w:p w:rsidR="00B67CF2" w:rsidRDefault="00B67CF2" w:rsidP="00E77563">
            <w:pPr>
              <w:pStyle w:val="Textetableau"/>
            </w:pPr>
            <w:r>
              <w:t>2,6</w:t>
            </w:r>
          </w:p>
        </w:tc>
      </w:tr>
      <w:tr w:rsidR="00B67CF2">
        <w:tc>
          <w:tcPr>
            <w:tcW w:w="1051" w:type="pct"/>
            <w:tcBorders>
              <w:left w:val="single" w:sz="12" w:space="0" w:color="000000"/>
              <w:right w:val="single" w:sz="6" w:space="0" w:color="000000"/>
            </w:tcBorders>
          </w:tcPr>
          <w:p w:rsidR="00B67CF2" w:rsidRDefault="00B67CF2" w:rsidP="00D25A31">
            <w:pPr>
              <w:pStyle w:val="Titretableau"/>
            </w:pPr>
            <w:r>
              <w:t>Construction</w:t>
            </w:r>
          </w:p>
        </w:tc>
        <w:tc>
          <w:tcPr>
            <w:tcW w:w="1081" w:type="pct"/>
            <w:tcBorders>
              <w:left w:val="single" w:sz="6" w:space="0" w:color="000000"/>
              <w:right w:val="single" w:sz="6" w:space="0" w:color="000000"/>
            </w:tcBorders>
          </w:tcPr>
          <w:p w:rsidR="00B67CF2" w:rsidRDefault="00B67CF2" w:rsidP="00E77563">
            <w:pPr>
              <w:pStyle w:val="Textetableau"/>
            </w:pPr>
            <w:r>
              <w:t>2,3</w:t>
            </w:r>
          </w:p>
        </w:tc>
        <w:tc>
          <w:tcPr>
            <w:tcW w:w="1325" w:type="pct"/>
            <w:tcBorders>
              <w:left w:val="single" w:sz="6" w:space="0" w:color="000000"/>
              <w:right w:val="single" w:sz="6" w:space="0" w:color="000000"/>
            </w:tcBorders>
          </w:tcPr>
          <w:p w:rsidR="00B67CF2" w:rsidRDefault="00B67CF2" w:rsidP="00E77563">
            <w:pPr>
              <w:pStyle w:val="Textetableau"/>
            </w:pPr>
            <w:r>
              <w:t>2,7</w:t>
            </w:r>
          </w:p>
        </w:tc>
        <w:tc>
          <w:tcPr>
            <w:tcW w:w="1542" w:type="pct"/>
            <w:tcBorders>
              <w:left w:val="single" w:sz="6" w:space="0" w:color="000000"/>
              <w:right w:val="single" w:sz="12" w:space="0" w:color="000000"/>
            </w:tcBorders>
          </w:tcPr>
          <w:p w:rsidR="00B67CF2" w:rsidRDefault="00B67CF2" w:rsidP="00E77563">
            <w:pPr>
              <w:pStyle w:val="Textetableau"/>
            </w:pPr>
            <w:r>
              <w:t>1,6</w:t>
            </w:r>
          </w:p>
        </w:tc>
      </w:tr>
      <w:tr w:rsidR="00B67CF2">
        <w:tc>
          <w:tcPr>
            <w:tcW w:w="1051" w:type="pct"/>
            <w:tcBorders>
              <w:left w:val="single" w:sz="12" w:space="0" w:color="000000"/>
              <w:right w:val="single" w:sz="6" w:space="0" w:color="000000"/>
            </w:tcBorders>
          </w:tcPr>
          <w:p w:rsidR="00B67CF2" w:rsidRDefault="00B67CF2" w:rsidP="00D25A31">
            <w:pPr>
              <w:pStyle w:val="Titretableau"/>
            </w:pPr>
            <w:r>
              <w:t>Services</w:t>
            </w:r>
          </w:p>
        </w:tc>
        <w:tc>
          <w:tcPr>
            <w:tcW w:w="1081" w:type="pct"/>
            <w:tcBorders>
              <w:left w:val="single" w:sz="6" w:space="0" w:color="000000"/>
              <w:right w:val="single" w:sz="6" w:space="0" w:color="000000"/>
            </w:tcBorders>
          </w:tcPr>
          <w:p w:rsidR="00B67CF2" w:rsidRDefault="00B67CF2" w:rsidP="00E77563">
            <w:pPr>
              <w:pStyle w:val="Textetableau"/>
            </w:pPr>
            <w:r>
              <w:t>1,9</w:t>
            </w:r>
          </w:p>
        </w:tc>
        <w:tc>
          <w:tcPr>
            <w:tcW w:w="1325" w:type="pct"/>
            <w:tcBorders>
              <w:left w:val="single" w:sz="6" w:space="0" w:color="000000"/>
              <w:right w:val="single" w:sz="6" w:space="0" w:color="000000"/>
            </w:tcBorders>
          </w:tcPr>
          <w:p w:rsidR="00B67CF2" w:rsidRDefault="00B67CF2" w:rsidP="00E77563">
            <w:pPr>
              <w:pStyle w:val="Textetableau"/>
            </w:pPr>
            <w:r>
              <w:t>1,6</w:t>
            </w:r>
          </w:p>
        </w:tc>
        <w:tc>
          <w:tcPr>
            <w:tcW w:w="1542" w:type="pct"/>
            <w:tcBorders>
              <w:left w:val="single" w:sz="6" w:space="0" w:color="000000"/>
              <w:right w:val="single" w:sz="12" w:space="0" w:color="000000"/>
            </w:tcBorders>
          </w:tcPr>
          <w:p w:rsidR="00B67CF2" w:rsidRDefault="00B67CF2" w:rsidP="00E77563">
            <w:pPr>
              <w:pStyle w:val="Textetableau"/>
            </w:pPr>
            <w:r>
              <w:t>2,3</w:t>
            </w:r>
          </w:p>
        </w:tc>
      </w:tr>
      <w:tr w:rsidR="00B67CF2">
        <w:tc>
          <w:tcPr>
            <w:tcW w:w="1051" w:type="pct"/>
            <w:tcBorders>
              <w:left w:val="single" w:sz="12" w:space="0" w:color="000000"/>
              <w:bottom w:val="single" w:sz="12" w:space="0" w:color="000000"/>
              <w:right w:val="single" w:sz="6" w:space="0" w:color="000000"/>
            </w:tcBorders>
          </w:tcPr>
          <w:p w:rsidR="00B67CF2" w:rsidRDefault="00B67CF2" w:rsidP="00D25A31">
            <w:pPr>
              <w:pStyle w:val="Titretableau"/>
            </w:pPr>
            <w:r>
              <w:t>Total secteurs</w:t>
            </w:r>
          </w:p>
        </w:tc>
        <w:tc>
          <w:tcPr>
            <w:tcW w:w="1081" w:type="pct"/>
            <w:tcBorders>
              <w:left w:val="single" w:sz="6" w:space="0" w:color="000000"/>
              <w:bottom w:val="single" w:sz="12" w:space="0" w:color="000000"/>
              <w:right w:val="single" w:sz="6" w:space="0" w:color="000000"/>
            </w:tcBorders>
          </w:tcPr>
          <w:p w:rsidR="00B67CF2" w:rsidRDefault="00B67CF2" w:rsidP="00E77563">
            <w:pPr>
              <w:pStyle w:val="Textetableau"/>
            </w:pPr>
            <w:r>
              <w:t>2</w:t>
            </w:r>
          </w:p>
        </w:tc>
        <w:tc>
          <w:tcPr>
            <w:tcW w:w="1325" w:type="pct"/>
            <w:tcBorders>
              <w:left w:val="single" w:sz="6" w:space="0" w:color="000000"/>
              <w:bottom w:val="single" w:sz="12" w:space="0" w:color="000000"/>
              <w:right w:val="single" w:sz="6" w:space="0" w:color="000000"/>
            </w:tcBorders>
          </w:tcPr>
          <w:p w:rsidR="00B67CF2" w:rsidRDefault="00B67CF2" w:rsidP="00E77563">
            <w:pPr>
              <w:pStyle w:val="Textetableau"/>
            </w:pPr>
            <w:r>
              <w:t>1,8</w:t>
            </w:r>
          </w:p>
        </w:tc>
        <w:tc>
          <w:tcPr>
            <w:tcW w:w="1542" w:type="pct"/>
            <w:tcBorders>
              <w:left w:val="single" w:sz="6" w:space="0" w:color="000000"/>
              <w:bottom w:val="single" w:sz="12" w:space="0" w:color="000000"/>
              <w:right w:val="single" w:sz="12" w:space="0" w:color="000000"/>
            </w:tcBorders>
          </w:tcPr>
          <w:p w:rsidR="00B67CF2" w:rsidRDefault="00B67CF2" w:rsidP="00E77563">
            <w:pPr>
              <w:pStyle w:val="Textetableau"/>
            </w:pPr>
            <w:r>
              <w:t>2,2</w:t>
            </w:r>
          </w:p>
        </w:tc>
      </w:tr>
    </w:tbl>
    <w:p w:rsidR="002D5B3D" w:rsidRDefault="002D5B3D" w:rsidP="002D5B3D">
      <w:pPr>
        <w:pStyle w:val="ESPACE"/>
      </w:pPr>
    </w:p>
    <w:p w:rsidR="00E77563" w:rsidRPr="00E77563" w:rsidRDefault="00A07AFC" w:rsidP="00E77563">
      <w:pPr>
        <w:pStyle w:val="TABLEAULEGENDE"/>
      </w:pPr>
      <w:r>
        <w:t>Graphique :</w:t>
      </w:r>
      <w:r w:rsidR="00B67CF2" w:rsidRPr="00E77563">
        <w:t xml:space="preserve"> Poids des petites entreprises des pays membres (données 1992).</w:t>
      </w:r>
    </w:p>
    <w:p w:rsidR="00B67CF2" w:rsidRDefault="00230B2C" w:rsidP="00FE189B">
      <w:pPr>
        <w:pStyle w:val="IMAGE"/>
      </w:pPr>
      <w:r>
        <w:rPr>
          <w:noProof/>
        </w:rPr>
        <w:drawing>
          <wp:inline distT="0" distB="0" distL="0" distR="0" wp14:anchorId="1B3F14A5" wp14:editId="5E07BAEE">
            <wp:extent cx="5033010" cy="2021205"/>
            <wp:effectExtent l="0" t="0" r="0" b="0"/>
            <wp:docPr id="2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33010" cy="2021205"/>
                    </a:xfrm>
                    <a:prstGeom prst="rect">
                      <a:avLst/>
                    </a:prstGeom>
                    <a:noFill/>
                    <a:ln>
                      <a:noFill/>
                    </a:ln>
                  </pic:spPr>
                </pic:pic>
              </a:graphicData>
            </a:graphic>
          </wp:inline>
        </w:drawing>
      </w:r>
    </w:p>
    <w:p w:rsidR="00B67CF2" w:rsidRDefault="00B67CF2" w:rsidP="00137D7B">
      <w:pPr>
        <w:pStyle w:val="source"/>
      </w:pPr>
      <w:r>
        <w:t>Source : Communauté Européenne, Observatoire Européen pour la PME, deuxième rapport annuel, 1992.</w:t>
      </w:r>
    </w:p>
    <w:p w:rsidR="002D5B3D" w:rsidRDefault="002D5B3D" w:rsidP="002D5B3D">
      <w:pPr>
        <w:pStyle w:val="ESPACE"/>
      </w:pPr>
    </w:p>
    <w:p w:rsidR="00F42EAB" w:rsidRDefault="00B67CF2" w:rsidP="00A07AFC">
      <w:pPr>
        <w:pStyle w:val="Titre3"/>
      </w:pPr>
      <w:bookmarkStart w:id="25" w:name="_Toc336716603"/>
      <w:bookmarkStart w:id="26" w:name="_Toc398658419"/>
      <w:r w:rsidRPr="000D4AE1">
        <w:t>Répartition des entreprises par tailles et par secteurs</w:t>
      </w:r>
      <w:bookmarkEnd w:id="25"/>
      <w:bookmarkEnd w:id="26"/>
    </w:p>
    <w:p w:rsidR="00B67CF2" w:rsidRDefault="00B67CF2" w:rsidP="00A07AFC">
      <w:pPr>
        <w:pStyle w:val="Corpsdetexte"/>
      </w:pPr>
      <w:r>
        <w:t>Pour l’ensemble des pays membres de l’Union Européenne, 92</w:t>
      </w:r>
      <w:r w:rsidR="005E0833">
        <w:t xml:space="preserve"> %</w:t>
      </w:r>
      <w:r>
        <w:t xml:space="preserve"> des entreprises entrent dans la catégorie des TPE (0 - 9 employés). Le tableau suivant ventile ces entreprises par taille et par secteur économique pour les quatre plus grands pays de l’Union Européenne (représentant plus des deux tiers des entreprises de la communauté).</w:t>
      </w:r>
    </w:p>
    <w:p w:rsidR="00B67CF2" w:rsidRPr="00E77563" w:rsidRDefault="002D5B3D" w:rsidP="00E77563">
      <w:pPr>
        <w:pStyle w:val="TABLEAULEGENDE"/>
      </w:pPr>
      <w:r>
        <w:br w:type="page"/>
      </w:r>
      <w:r w:rsidR="00B67CF2" w:rsidRPr="00E77563">
        <w:lastRenderedPageBreak/>
        <w:t>Nombre d’entreprises de 0-9 salariés</w:t>
      </w:r>
    </w:p>
    <w:tbl>
      <w:tblPr>
        <w:tblW w:w="5000" w:type="pct"/>
        <w:jc w:val="center"/>
        <w:tblCellMar>
          <w:left w:w="70" w:type="dxa"/>
          <w:right w:w="70" w:type="dxa"/>
        </w:tblCellMar>
        <w:tblLook w:val="00A0" w:firstRow="1" w:lastRow="0" w:firstColumn="1" w:lastColumn="0" w:noHBand="0" w:noVBand="0"/>
      </w:tblPr>
      <w:tblGrid>
        <w:gridCol w:w="1519"/>
        <w:gridCol w:w="1139"/>
        <w:gridCol w:w="908"/>
        <w:gridCol w:w="1143"/>
        <w:gridCol w:w="631"/>
        <w:gridCol w:w="1033"/>
        <w:gridCol w:w="583"/>
        <w:gridCol w:w="935"/>
        <w:gridCol w:w="583"/>
      </w:tblGrid>
      <w:tr w:rsidR="00B67CF2" w:rsidTr="00156E75">
        <w:trPr>
          <w:cantSplit/>
          <w:jc w:val="center"/>
        </w:trPr>
        <w:tc>
          <w:tcPr>
            <w:tcW w:w="909" w:type="pct"/>
            <w:tcBorders>
              <w:top w:val="single" w:sz="12" w:space="0" w:color="000000"/>
              <w:left w:val="single" w:sz="12" w:space="0" w:color="000000"/>
              <w:bottom w:val="single" w:sz="6" w:space="0" w:color="000000"/>
              <w:right w:val="single" w:sz="6" w:space="0" w:color="000000"/>
            </w:tcBorders>
          </w:tcPr>
          <w:p w:rsidR="00B67CF2" w:rsidRPr="008C3C54" w:rsidRDefault="00B67CF2" w:rsidP="00D25A31">
            <w:pPr>
              <w:pStyle w:val="Titretableau"/>
            </w:pPr>
            <w:r w:rsidRPr="008C3C54">
              <w:t>1988</w:t>
            </w:r>
          </w:p>
        </w:tc>
        <w:tc>
          <w:tcPr>
            <w:tcW w:w="685" w:type="pct"/>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France</w:t>
            </w:r>
          </w:p>
        </w:tc>
        <w:tc>
          <w:tcPr>
            <w:tcW w:w="548" w:type="pct"/>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p>
        </w:tc>
        <w:tc>
          <w:tcPr>
            <w:tcW w:w="661" w:type="pct"/>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Allemagne</w:t>
            </w:r>
          </w:p>
        </w:tc>
        <w:tc>
          <w:tcPr>
            <w:tcW w:w="385" w:type="pct"/>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p>
        </w:tc>
        <w:tc>
          <w:tcPr>
            <w:tcW w:w="598" w:type="pct"/>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Royaume Uni</w:t>
            </w:r>
          </w:p>
        </w:tc>
        <w:tc>
          <w:tcPr>
            <w:tcW w:w="337" w:type="pct"/>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p>
        </w:tc>
        <w:tc>
          <w:tcPr>
            <w:tcW w:w="541" w:type="pct"/>
            <w:tcBorders>
              <w:top w:val="single" w:sz="12" w:space="0" w:color="000000"/>
              <w:left w:val="single" w:sz="6" w:space="0" w:color="000000"/>
              <w:bottom w:val="single" w:sz="6" w:space="0" w:color="000000"/>
              <w:right w:val="single" w:sz="12" w:space="0" w:color="000000"/>
            </w:tcBorders>
          </w:tcPr>
          <w:p w:rsidR="00B67CF2" w:rsidRPr="008C3C54" w:rsidRDefault="00B67CF2" w:rsidP="00D25A31">
            <w:pPr>
              <w:pStyle w:val="Titretableau"/>
            </w:pPr>
            <w:r w:rsidRPr="008C3C54">
              <w:t>Espagne</w:t>
            </w:r>
          </w:p>
        </w:tc>
        <w:tc>
          <w:tcPr>
            <w:tcW w:w="337" w:type="pct"/>
            <w:tcBorders>
              <w:top w:val="single" w:sz="12" w:space="0" w:color="000000"/>
              <w:left w:val="single" w:sz="6" w:space="0" w:color="000000"/>
              <w:bottom w:val="single" w:sz="6" w:space="0" w:color="000000"/>
              <w:right w:val="single" w:sz="12" w:space="0" w:color="000000"/>
            </w:tcBorders>
          </w:tcPr>
          <w:p w:rsidR="00B67CF2" w:rsidRPr="008C3C54" w:rsidRDefault="00B67CF2" w:rsidP="00D25A31">
            <w:pPr>
              <w:pStyle w:val="Titretableau"/>
            </w:pPr>
          </w:p>
        </w:tc>
      </w:tr>
      <w:tr w:rsidR="00B67CF2" w:rsidTr="00156E75">
        <w:trPr>
          <w:cantSplit/>
          <w:jc w:val="center"/>
        </w:trPr>
        <w:tc>
          <w:tcPr>
            <w:tcW w:w="909" w:type="pct"/>
            <w:tcBorders>
              <w:left w:val="single" w:sz="12" w:space="0" w:color="000000"/>
              <w:right w:val="single" w:sz="6" w:space="0" w:color="000000"/>
            </w:tcBorders>
          </w:tcPr>
          <w:p w:rsidR="00B67CF2" w:rsidRDefault="00B67CF2" w:rsidP="00D25A31">
            <w:pPr>
              <w:pStyle w:val="Titretableau"/>
            </w:pPr>
            <w:r>
              <w:t>(en millier)</w:t>
            </w:r>
          </w:p>
        </w:tc>
        <w:tc>
          <w:tcPr>
            <w:tcW w:w="685" w:type="pct"/>
            <w:tcBorders>
              <w:left w:val="single" w:sz="6" w:space="0" w:color="000000"/>
              <w:right w:val="single" w:sz="6" w:space="0" w:color="000000"/>
            </w:tcBorders>
          </w:tcPr>
          <w:p w:rsidR="00B67CF2" w:rsidRDefault="00B67CF2" w:rsidP="008C3C54">
            <w:pPr>
              <w:pStyle w:val="Textetableau"/>
            </w:pPr>
            <w:r>
              <w:t>nombre</w:t>
            </w:r>
          </w:p>
        </w:tc>
        <w:tc>
          <w:tcPr>
            <w:tcW w:w="548" w:type="pct"/>
            <w:tcBorders>
              <w:left w:val="single" w:sz="6" w:space="0" w:color="000000"/>
              <w:right w:val="single" w:sz="6" w:space="0" w:color="000000"/>
            </w:tcBorders>
          </w:tcPr>
          <w:p w:rsidR="00B67CF2" w:rsidRDefault="005E0833" w:rsidP="008C3C54">
            <w:pPr>
              <w:pStyle w:val="Textetableau"/>
            </w:pPr>
            <w:r>
              <w:t xml:space="preserve"> %</w:t>
            </w:r>
          </w:p>
        </w:tc>
        <w:tc>
          <w:tcPr>
            <w:tcW w:w="661" w:type="pct"/>
            <w:tcBorders>
              <w:left w:val="single" w:sz="6" w:space="0" w:color="000000"/>
              <w:right w:val="single" w:sz="6" w:space="0" w:color="000000"/>
            </w:tcBorders>
          </w:tcPr>
          <w:p w:rsidR="00B67CF2" w:rsidRPr="008C3C54" w:rsidRDefault="00B67CF2" w:rsidP="008C3C54">
            <w:pPr>
              <w:pStyle w:val="Textetableau"/>
            </w:pPr>
            <w:r w:rsidRPr="008C3C54">
              <w:t>nombre</w:t>
            </w:r>
          </w:p>
        </w:tc>
        <w:tc>
          <w:tcPr>
            <w:tcW w:w="385" w:type="pct"/>
            <w:tcBorders>
              <w:left w:val="single" w:sz="6" w:space="0" w:color="000000"/>
              <w:right w:val="single" w:sz="6" w:space="0" w:color="000000"/>
            </w:tcBorders>
          </w:tcPr>
          <w:p w:rsidR="00B67CF2" w:rsidRPr="008C3C54" w:rsidRDefault="005E0833" w:rsidP="008C3C54">
            <w:pPr>
              <w:pStyle w:val="Textetableau"/>
            </w:pPr>
            <w:r>
              <w:t xml:space="preserve"> %</w:t>
            </w:r>
          </w:p>
        </w:tc>
        <w:tc>
          <w:tcPr>
            <w:tcW w:w="598" w:type="pct"/>
            <w:tcBorders>
              <w:left w:val="single" w:sz="6" w:space="0" w:color="000000"/>
              <w:right w:val="single" w:sz="6" w:space="0" w:color="000000"/>
            </w:tcBorders>
          </w:tcPr>
          <w:p w:rsidR="00B67CF2" w:rsidRPr="008C3C54" w:rsidRDefault="00B67CF2" w:rsidP="008C3C54">
            <w:pPr>
              <w:pStyle w:val="Textetableau"/>
            </w:pPr>
            <w:r w:rsidRPr="008C3C54">
              <w:t>nombre</w:t>
            </w:r>
          </w:p>
        </w:tc>
        <w:tc>
          <w:tcPr>
            <w:tcW w:w="337" w:type="pct"/>
            <w:tcBorders>
              <w:left w:val="single" w:sz="6" w:space="0" w:color="000000"/>
              <w:right w:val="single" w:sz="6" w:space="0" w:color="000000"/>
            </w:tcBorders>
          </w:tcPr>
          <w:p w:rsidR="00B67CF2" w:rsidRPr="008C3C54" w:rsidRDefault="005E0833" w:rsidP="008C3C54">
            <w:pPr>
              <w:pStyle w:val="Textetableau"/>
            </w:pPr>
            <w:r>
              <w:t xml:space="preserve"> %</w:t>
            </w:r>
          </w:p>
        </w:tc>
        <w:tc>
          <w:tcPr>
            <w:tcW w:w="541" w:type="pct"/>
            <w:tcBorders>
              <w:left w:val="single" w:sz="6" w:space="0" w:color="000000"/>
              <w:right w:val="single" w:sz="12" w:space="0" w:color="000000"/>
            </w:tcBorders>
          </w:tcPr>
          <w:p w:rsidR="00B67CF2" w:rsidRPr="008C3C54" w:rsidRDefault="00B67CF2" w:rsidP="008C3C54">
            <w:pPr>
              <w:pStyle w:val="Textetableau"/>
            </w:pPr>
            <w:r w:rsidRPr="008C3C54">
              <w:t>nombre</w:t>
            </w:r>
          </w:p>
        </w:tc>
        <w:tc>
          <w:tcPr>
            <w:tcW w:w="337" w:type="pct"/>
            <w:tcBorders>
              <w:left w:val="single" w:sz="6" w:space="0" w:color="000000"/>
              <w:right w:val="single" w:sz="12" w:space="0" w:color="000000"/>
            </w:tcBorders>
          </w:tcPr>
          <w:p w:rsidR="00B67CF2" w:rsidRPr="008C3C54" w:rsidRDefault="005E0833" w:rsidP="008C3C54">
            <w:pPr>
              <w:pStyle w:val="Textetableau"/>
            </w:pPr>
            <w:r>
              <w:t xml:space="preserve"> %</w:t>
            </w:r>
          </w:p>
        </w:tc>
      </w:tr>
      <w:tr w:rsidR="00B67CF2" w:rsidTr="00156E75">
        <w:trPr>
          <w:cantSplit/>
          <w:jc w:val="center"/>
        </w:trPr>
        <w:tc>
          <w:tcPr>
            <w:tcW w:w="909" w:type="pct"/>
            <w:tcBorders>
              <w:left w:val="single" w:sz="12" w:space="0" w:color="000000"/>
              <w:right w:val="single" w:sz="6" w:space="0" w:color="000000"/>
            </w:tcBorders>
          </w:tcPr>
          <w:p w:rsidR="00B67CF2" w:rsidRDefault="00B67CF2" w:rsidP="00D25A31">
            <w:pPr>
              <w:pStyle w:val="Titretableau"/>
            </w:pPr>
            <w:r>
              <w:t>Industrie</w:t>
            </w:r>
          </w:p>
        </w:tc>
        <w:tc>
          <w:tcPr>
            <w:tcW w:w="685" w:type="pct"/>
            <w:tcBorders>
              <w:left w:val="single" w:sz="6" w:space="0" w:color="000000"/>
              <w:right w:val="single" w:sz="6" w:space="0" w:color="000000"/>
            </w:tcBorders>
          </w:tcPr>
          <w:p w:rsidR="00B67CF2" w:rsidRDefault="00B67CF2" w:rsidP="008C3C54">
            <w:pPr>
              <w:pStyle w:val="Textetableau"/>
            </w:pPr>
            <w:r>
              <w:t>515,3</w:t>
            </w:r>
          </w:p>
        </w:tc>
        <w:tc>
          <w:tcPr>
            <w:tcW w:w="548" w:type="pct"/>
            <w:tcBorders>
              <w:left w:val="single" w:sz="6" w:space="0" w:color="000000"/>
              <w:right w:val="single" w:sz="6" w:space="0" w:color="000000"/>
            </w:tcBorders>
          </w:tcPr>
          <w:p w:rsidR="00B67CF2" w:rsidRDefault="00B67CF2" w:rsidP="008C3C54">
            <w:pPr>
              <w:pStyle w:val="Textetableau"/>
            </w:pPr>
            <w:r>
              <w:t>11,3</w:t>
            </w:r>
          </w:p>
        </w:tc>
        <w:tc>
          <w:tcPr>
            <w:tcW w:w="661" w:type="pct"/>
            <w:tcBorders>
              <w:left w:val="single" w:sz="6" w:space="0" w:color="000000"/>
              <w:right w:val="single" w:sz="6" w:space="0" w:color="000000"/>
            </w:tcBorders>
          </w:tcPr>
          <w:p w:rsidR="00B67CF2" w:rsidRPr="008C3C54" w:rsidRDefault="00B67CF2" w:rsidP="008C3C54">
            <w:pPr>
              <w:pStyle w:val="Textetableau"/>
            </w:pPr>
            <w:r w:rsidRPr="008C3C54">
              <w:t>506,1</w:t>
            </w:r>
          </w:p>
        </w:tc>
        <w:tc>
          <w:tcPr>
            <w:tcW w:w="385" w:type="pct"/>
            <w:tcBorders>
              <w:left w:val="single" w:sz="6" w:space="0" w:color="000000"/>
              <w:right w:val="single" w:sz="6" w:space="0" w:color="000000"/>
            </w:tcBorders>
          </w:tcPr>
          <w:p w:rsidR="00B67CF2" w:rsidRPr="008C3C54" w:rsidRDefault="00B67CF2" w:rsidP="008C3C54">
            <w:pPr>
              <w:pStyle w:val="Textetableau"/>
            </w:pPr>
            <w:r w:rsidRPr="008C3C54">
              <w:t>5,9</w:t>
            </w:r>
          </w:p>
        </w:tc>
        <w:tc>
          <w:tcPr>
            <w:tcW w:w="598" w:type="pct"/>
            <w:tcBorders>
              <w:left w:val="single" w:sz="6" w:space="0" w:color="000000"/>
              <w:right w:val="single" w:sz="6" w:space="0" w:color="000000"/>
            </w:tcBorders>
          </w:tcPr>
          <w:p w:rsidR="00B67CF2" w:rsidRPr="008C3C54" w:rsidRDefault="00B67CF2" w:rsidP="008C3C54">
            <w:pPr>
              <w:pStyle w:val="Textetableau"/>
            </w:pPr>
            <w:r w:rsidRPr="008C3C54">
              <w:t>623,9</w:t>
            </w:r>
          </w:p>
        </w:tc>
        <w:tc>
          <w:tcPr>
            <w:tcW w:w="337" w:type="pct"/>
            <w:tcBorders>
              <w:left w:val="single" w:sz="6" w:space="0" w:color="000000"/>
              <w:right w:val="single" w:sz="6" w:space="0" w:color="000000"/>
            </w:tcBorders>
          </w:tcPr>
          <w:p w:rsidR="00B67CF2" w:rsidRPr="008C3C54" w:rsidRDefault="00B67CF2" w:rsidP="008C3C54">
            <w:pPr>
              <w:pStyle w:val="Textetableau"/>
            </w:pPr>
            <w:r w:rsidRPr="008C3C54">
              <w:t>10,1</w:t>
            </w:r>
          </w:p>
        </w:tc>
        <w:tc>
          <w:tcPr>
            <w:tcW w:w="541" w:type="pct"/>
            <w:tcBorders>
              <w:left w:val="single" w:sz="6" w:space="0" w:color="000000"/>
              <w:right w:val="single" w:sz="12" w:space="0" w:color="000000"/>
            </w:tcBorders>
          </w:tcPr>
          <w:p w:rsidR="00B67CF2" w:rsidRPr="008C3C54" w:rsidRDefault="00B67CF2" w:rsidP="008C3C54">
            <w:pPr>
              <w:pStyle w:val="Textetableau"/>
            </w:pPr>
            <w:r w:rsidRPr="008C3C54">
              <w:t>380,9</w:t>
            </w:r>
          </w:p>
        </w:tc>
        <w:tc>
          <w:tcPr>
            <w:tcW w:w="337" w:type="pct"/>
            <w:tcBorders>
              <w:left w:val="single" w:sz="6" w:space="0" w:color="000000"/>
              <w:right w:val="single" w:sz="12" w:space="0" w:color="000000"/>
            </w:tcBorders>
          </w:tcPr>
          <w:p w:rsidR="00B67CF2" w:rsidRPr="008C3C54" w:rsidRDefault="00B67CF2" w:rsidP="008C3C54">
            <w:pPr>
              <w:pStyle w:val="Textetableau"/>
            </w:pPr>
            <w:r w:rsidRPr="008C3C54">
              <w:t>15,7</w:t>
            </w:r>
          </w:p>
        </w:tc>
      </w:tr>
      <w:tr w:rsidR="00B67CF2" w:rsidTr="00156E75">
        <w:trPr>
          <w:cantSplit/>
          <w:jc w:val="center"/>
        </w:trPr>
        <w:tc>
          <w:tcPr>
            <w:tcW w:w="909" w:type="pct"/>
            <w:tcBorders>
              <w:left w:val="single" w:sz="12" w:space="0" w:color="000000"/>
              <w:right w:val="single" w:sz="6" w:space="0" w:color="000000"/>
            </w:tcBorders>
          </w:tcPr>
          <w:p w:rsidR="00B67CF2" w:rsidRDefault="00B67CF2" w:rsidP="00D25A31">
            <w:pPr>
              <w:pStyle w:val="Titretableau"/>
            </w:pPr>
            <w:r>
              <w:t>Construction</w:t>
            </w:r>
          </w:p>
        </w:tc>
        <w:tc>
          <w:tcPr>
            <w:tcW w:w="685" w:type="pct"/>
            <w:tcBorders>
              <w:left w:val="single" w:sz="6" w:space="0" w:color="000000"/>
              <w:right w:val="single" w:sz="6" w:space="0" w:color="000000"/>
            </w:tcBorders>
          </w:tcPr>
          <w:p w:rsidR="00B67CF2" w:rsidRDefault="00B67CF2" w:rsidP="008C3C54">
            <w:pPr>
              <w:pStyle w:val="Textetableau"/>
            </w:pPr>
            <w:r>
              <w:t>582,4</w:t>
            </w:r>
          </w:p>
        </w:tc>
        <w:tc>
          <w:tcPr>
            <w:tcW w:w="548" w:type="pct"/>
            <w:tcBorders>
              <w:left w:val="single" w:sz="6" w:space="0" w:color="000000"/>
              <w:right w:val="single" w:sz="6" w:space="0" w:color="000000"/>
            </w:tcBorders>
          </w:tcPr>
          <w:p w:rsidR="00B67CF2" w:rsidRDefault="00B67CF2" w:rsidP="008C3C54">
            <w:pPr>
              <w:pStyle w:val="Textetableau"/>
            </w:pPr>
            <w:r>
              <w:t>40,9</w:t>
            </w:r>
          </w:p>
        </w:tc>
        <w:tc>
          <w:tcPr>
            <w:tcW w:w="661" w:type="pct"/>
            <w:tcBorders>
              <w:left w:val="single" w:sz="6" w:space="0" w:color="000000"/>
              <w:right w:val="single" w:sz="6" w:space="0" w:color="000000"/>
            </w:tcBorders>
          </w:tcPr>
          <w:p w:rsidR="00B67CF2" w:rsidRPr="008C3C54" w:rsidRDefault="00B67CF2" w:rsidP="008C3C54">
            <w:pPr>
              <w:pStyle w:val="Textetableau"/>
            </w:pPr>
            <w:r w:rsidRPr="008C3C54">
              <w:t>377,9</w:t>
            </w:r>
          </w:p>
        </w:tc>
        <w:tc>
          <w:tcPr>
            <w:tcW w:w="385" w:type="pct"/>
            <w:tcBorders>
              <w:left w:val="single" w:sz="6" w:space="0" w:color="000000"/>
              <w:right w:val="single" w:sz="6" w:space="0" w:color="000000"/>
            </w:tcBorders>
          </w:tcPr>
          <w:p w:rsidR="00B67CF2" w:rsidRPr="008C3C54" w:rsidRDefault="00B67CF2" w:rsidP="008C3C54">
            <w:pPr>
              <w:pStyle w:val="Textetableau"/>
            </w:pPr>
            <w:r w:rsidRPr="008C3C54">
              <w:t>22,8</w:t>
            </w:r>
          </w:p>
        </w:tc>
        <w:tc>
          <w:tcPr>
            <w:tcW w:w="598" w:type="pct"/>
            <w:tcBorders>
              <w:left w:val="single" w:sz="6" w:space="0" w:color="000000"/>
              <w:right w:val="single" w:sz="6" w:space="0" w:color="000000"/>
            </w:tcBorders>
          </w:tcPr>
          <w:p w:rsidR="00B67CF2" w:rsidRPr="008C3C54" w:rsidRDefault="00B67CF2" w:rsidP="008C3C54">
            <w:pPr>
              <w:pStyle w:val="Textetableau"/>
            </w:pPr>
            <w:r w:rsidRPr="008C3C54">
              <w:t>955,3</w:t>
            </w:r>
          </w:p>
        </w:tc>
        <w:tc>
          <w:tcPr>
            <w:tcW w:w="337" w:type="pct"/>
            <w:tcBorders>
              <w:left w:val="single" w:sz="6" w:space="0" w:color="000000"/>
              <w:right w:val="single" w:sz="6" w:space="0" w:color="000000"/>
            </w:tcBorders>
          </w:tcPr>
          <w:p w:rsidR="00B67CF2" w:rsidRPr="008C3C54" w:rsidRDefault="00B67CF2" w:rsidP="008C3C54">
            <w:pPr>
              <w:pStyle w:val="Textetableau"/>
            </w:pPr>
            <w:r w:rsidRPr="008C3C54">
              <w:t>58,2</w:t>
            </w:r>
          </w:p>
        </w:tc>
        <w:tc>
          <w:tcPr>
            <w:tcW w:w="541" w:type="pct"/>
            <w:tcBorders>
              <w:left w:val="single" w:sz="6" w:space="0" w:color="000000"/>
              <w:right w:val="single" w:sz="12" w:space="0" w:color="000000"/>
            </w:tcBorders>
          </w:tcPr>
          <w:p w:rsidR="00B67CF2" w:rsidRPr="008C3C54" w:rsidRDefault="00B67CF2" w:rsidP="008C3C54">
            <w:pPr>
              <w:pStyle w:val="Textetableau"/>
            </w:pPr>
            <w:r w:rsidRPr="008C3C54">
              <w:t>196,6</w:t>
            </w:r>
          </w:p>
        </w:tc>
        <w:tc>
          <w:tcPr>
            <w:tcW w:w="337" w:type="pct"/>
            <w:tcBorders>
              <w:left w:val="single" w:sz="6" w:space="0" w:color="000000"/>
              <w:right w:val="single" w:sz="12" w:space="0" w:color="000000"/>
            </w:tcBorders>
          </w:tcPr>
          <w:p w:rsidR="00B67CF2" w:rsidRPr="008C3C54" w:rsidRDefault="00B67CF2" w:rsidP="008C3C54">
            <w:pPr>
              <w:pStyle w:val="Textetableau"/>
            </w:pPr>
            <w:r w:rsidRPr="008C3C54">
              <w:t>27,9</w:t>
            </w:r>
          </w:p>
        </w:tc>
      </w:tr>
      <w:tr w:rsidR="00B67CF2" w:rsidTr="00156E75">
        <w:trPr>
          <w:cantSplit/>
          <w:jc w:val="center"/>
        </w:trPr>
        <w:tc>
          <w:tcPr>
            <w:tcW w:w="909" w:type="pct"/>
            <w:tcBorders>
              <w:left w:val="single" w:sz="12" w:space="0" w:color="000000"/>
              <w:right w:val="single" w:sz="6" w:space="0" w:color="000000"/>
            </w:tcBorders>
          </w:tcPr>
          <w:p w:rsidR="00B67CF2" w:rsidRDefault="00B67CF2" w:rsidP="00D25A31">
            <w:pPr>
              <w:pStyle w:val="Titretableau"/>
            </w:pPr>
            <w:r>
              <w:t>Services</w:t>
            </w:r>
          </w:p>
        </w:tc>
        <w:tc>
          <w:tcPr>
            <w:tcW w:w="685" w:type="pct"/>
            <w:tcBorders>
              <w:left w:val="single" w:sz="6" w:space="0" w:color="000000"/>
              <w:right w:val="single" w:sz="6" w:space="0" w:color="000000"/>
            </w:tcBorders>
          </w:tcPr>
          <w:p w:rsidR="00B67CF2" w:rsidRDefault="00B67CF2" w:rsidP="008C3C54">
            <w:pPr>
              <w:pStyle w:val="Textetableau"/>
            </w:pPr>
            <w:r>
              <w:t>2714,3</w:t>
            </w:r>
          </w:p>
        </w:tc>
        <w:tc>
          <w:tcPr>
            <w:tcW w:w="548" w:type="pct"/>
            <w:tcBorders>
              <w:left w:val="single" w:sz="6" w:space="0" w:color="000000"/>
              <w:right w:val="single" w:sz="6" w:space="0" w:color="000000"/>
            </w:tcBorders>
          </w:tcPr>
          <w:p w:rsidR="00B67CF2" w:rsidRDefault="00B67CF2" w:rsidP="008C3C54">
            <w:pPr>
              <w:pStyle w:val="Textetableau"/>
            </w:pPr>
            <w:r>
              <w:t>36</w:t>
            </w:r>
          </w:p>
        </w:tc>
        <w:tc>
          <w:tcPr>
            <w:tcW w:w="661" w:type="pct"/>
            <w:tcBorders>
              <w:left w:val="single" w:sz="6" w:space="0" w:color="000000"/>
              <w:right w:val="single" w:sz="6" w:space="0" w:color="000000"/>
            </w:tcBorders>
          </w:tcPr>
          <w:p w:rsidR="00B67CF2" w:rsidRPr="008C3C54" w:rsidRDefault="00B67CF2" w:rsidP="008C3C54">
            <w:pPr>
              <w:pStyle w:val="Textetableau"/>
            </w:pPr>
            <w:r w:rsidRPr="008C3C54">
              <w:t>2357,3</w:t>
            </w:r>
          </w:p>
        </w:tc>
        <w:tc>
          <w:tcPr>
            <w:tcW w:w="385" w:type="pct"/>
            <w:tcBorders>
              <w:left w:val="single" w:sz="6" w:space="0" w:color="000000"/>
              <w:right w:val="single" w:sz="6" w:space="0" w:color="000000"/>
            </w:tcBorders>
          </w:tcPr>
          <w:p w:rsidR="00B67CF2" w:rsidRPr="008C3C54" w:rsidRDefault="00B67CF2" w:rsidP="008C3C54">
            <w:pPr>
              <w:pStyle w:val="Textetableau"/>
            </w:pPr>
            <w:r w:rsidRPr="008C3C54">
              <w:t>27,8</w:t>
            </w:r>
          </w:p>
        </w:tc>
        <w:tc>
          <w:tcPr>
            <w:tcW w:w="598" w:type="pct"/>
            <w:tcBorders>
              <w:left w:val="single" w:sz="6" w:space="0" w:color="000000"/>
              <w:right w:val="single" w:sz="6" w:space="0" w:color="000000"/>
            </w:tcBorders>
          </w:tcPr>
          <w:p w:rsidR="00B67CF2" w:rsidRPr="008C3C54" w:rsidRDefault="00B67CF2" w:rsidP="008C3C54">
            <w:pPr>
              <w:pStyle w:val="Textetableau"/>
            </w:pPr>
            <w:r w:rsidRPr="008C3C54">
              <w:t>3775,1</w:t>
            </w:r>
          </w:p>
        </w:tc>
        <w:tc>
          <w:tcPr>
            <w:tcW w:w="337" w:type="pct"/>
            <w:tcBorders>
              <w:left w:val="single" w:sz="6" w:space="0" w:color="000000"/>
              <w:right w:val="single" w:sz="6" w:space="0" w:color="000000"/>
            </w:tcBorders>
          </w:tcPr>
          <w:p w:rsidR="00B67CF2" w:rsidRPr="008C3C54" w:rsidRDefault="00B67CF2" w:rsidP="008C3C54">
            <w:pPr>
              <w:pStyle w:val="Textetableau"/>
            </w:pPr>
            <w:r w:rsidRPr="008C3C54">
              <w:t>29,9</w:t>
            </w:r>
          </w:p>
        </w:tc>
        <w:tc>
          <w:tcPr>
            <w:tcW w:w="541" w:type="pct"/>
            <w:tcBorders>
              <w:left w:val="single" w:sz="6" w:space="0" w:color="000000"/>
              <w:right w:val="single" w:sz="12" w:space="0" w:color="000000"/>
            </w:tcBorders>
          </w:tcPr>
          <w:p w:rsidR="00B67CF2" w:rsidRPr="008C3C54" w:rsidRDefault="00B67CF2" w:rsidP="008C3C54">
            <w:pPr>
              <w:pStyle w:val="Textetableau"/>
            </w:pPr>
            <w:r w:rsidRPr="008C3C54">
              <w:t>1083,5</w:t>
            </w:r>
          </w:p>
        </w:tc>
        <w:tc>
          <w:tcPr>
            <w:tcW w:w="337" w:type="pct"/>
            <w:tcBorders>
              <w:left w:val="single" w:sz="6" w:space="0" w:color="000000"/>
              <w:right w:val="single" w:sz="12" w:space="0" w:color="000000"/>
            </w:tcBorders>
          </w:tcPr>
          <w:p w:rsidR="00B67CF2" w:rsidRPr="008C3C54" w:rsidRDefault="00B67CF2" w:rsidP="008C3C54">
            <w:pPr>
              <w:pStyle w:val="Textetableau"/>
            </w:pPr>
            <w:r w:rsidRPr="008C3C54">
              <w:t>28,8</w:t>
            </w:r>
          </w:p>
        </w:tc>
      </w:tr>
      <w:tr w:rsidR="00B67CF2" w:rsidTr="00156E75">
        <w:trPr>
          <w:cantSplit/>
          <w:jc w:val="center"/>
        </w:trPr>
        <w:tc>
          <w:tcPr>
            <w:tcW w:w="909" w:type="pct"/>
            <w:tcBorders>
              <w:left w:val="single" w:sz="12" w:space="0" w:color="000000"/>
              <w:bottom w:val="single" w:sz="12" w:space="0" w:color="000000"/>
              <w:right w:val="single" w:sz="6" w:space="0" w:color="000000"/>
            </w:tcBorders>
          </w:tcPr>
          <w:p w:rsidR="00B67CF2" w:rsidRDefault="00B67CF2" w:rsidP="00D25A31">
            <w:pPr>
              <w:pStyle w:val="Titretableau"/>
            </w:pPr>
            <w:r>
              <w:t>Ensemble</w:t>
            </w:r>
          </w:p>
        </w:tc>
        <w:tc>
          <w:tcPr>
            <w:tcW w:w="685" w:type="pct"/>
            <w:tcBorders>
              <w:left w:val="single" w:sz="6" w:space="0" w:color="000000"/>
              <w:bottom w:val="single" w:sz="12" w:space="0" w:color="000000"/>
              <w:right w:val="single" w:sz="6" w:space="0" w:color="000000"/>
            </w:tcBorders>
          </w:tcPr>
          <w:p w:rsidR="00B67CF2" w:rsidRDefault="00B67CF2" w:rsidP="008C3C54">
            <w:pPr>
              <w:pStyle w:val="Textetableau"/>
            </w:pPr>
            <w:r>
              <w:t>3812</w:t>
            </w:r>
          </w:p>
        </w:tc>
        <w:tc>
          <w:tcPr>
            <w:tcW w:w="548" w:type="pct"/>
            <w:tcBorders>
              <w:left w:val="single" w:sz="6" w:space="0" w:color="000000"/>
              <w:bottom w:val="single" w:sz="12" w:space="0" w:color="000000"/>
              <w:right w:val="single" w:sz="6" w:space="0" w:color="000000"/>
            </w:tcBorders>
          </w:tcPr>
          <w:p w:rsidR="00B67CF2" w:rsidRDefault="00B67CF2" w:rsidP="008C3C54">
            <w:pPr>
              <w:pStyle w:val="Textetableau"/>
            </w:pPr>
            <w:r>
              <w:t>28,2</w:t>
            </w:r>
          </w:p>
        </w:tc>
        <w:tc>
          <w:tcPr>
            <w:tcW w:w="661" w:type="pct"/>
            <w:tcBorders>
              <w:left w:val="single" w:sz="6" w:space="0" w:color="000000"/>
              <w:bottom w:val="single" w:sz="12" w:space="0" w:color="000000"/>
              <w:right w:val="single" w:sz="6" w:space="0" w:color="000000"/>
            </w:tcBorders>
          </w:tcPr>
          <w:p w:rsidR="00B67CF2" w:rsidRPr="008C3C54" w:rsidRDefault="00B67CF2" w:rsidP="008C3C54">
            <w:pPr>
              <w:pStyle w:val="Textetableau"/>
            </w:pPr>
            <w:r w:rsidRPr="008C3C54">
              <w:t>3241,3</w:t>
            </w:r>
          </w:p>
        </w:tc>
        <w:tc>
          <w:tcPr>
            <w:tcW w:w="385" w:type="pct"/>
            <w:tcBorders>
              <w:left w:val="single" w:sz="6" w:space="0" w:color="000000"/>
              <w:bottom w:val="single" w:sz="12" w:space="0" w:color="000000"/>
              <w:right w:val="single" w:sz="6" w:space="0" w:color="000000"/>
            </w:tcBorders>
          </w:tcPr>
          <w:p w:rsidR="00B67CF2" w:rsidRPr="008C3C54" w:rsidRDefault="00B67CF2" w:rsidP="008C3C54">
            <w:pPr>
              <w:pStyle w:val="Textetableau"/>
            </w:pPr>
            <w:r w:rsidRPr="008C3C54">
              <w:t>17,3</w:t>
            </w:r>
          </w:p>
        </w:tc>
        <w:tc>
          <w:tcPr>
            <w:tcW w:w="598" w:type="pct"/>
            <w:tcBorders>
              <w:left w:val="single" w:sz="6" w:space="0" w:color="000000"/>
              <w:bottom w:val="single" w:sz="12" w:space="0" w:color="000000"/>
              <w:right w:val="single" w:sz="6" w:space="0" w:color="000000"/>
            </w:tcBorders>
          </w:tcPr>
          <w:p w:rsidR="00B67CF2" w:rsidRPr="008C3C54" w:rsidRDefault="00B67CF2" w:rsidP="008C3C54">
            <w:pPr>
              <w:pStyle w:val="Textetableau"/>
            </w:pPr>
            <w:r w:rsidRPr="008C3C54">
              <w:t>5354,3</w:t>
            </w:r>
          </w:p>
        </w:tc>
        <w:tc>
          <w:tcPr>
            <w:tcW w:w="337" w:type="pct"/>
            <w:tcBorders>
              <w:left w:val="single" w:sz="6" w:space="0" w:color="000000"/>
              <w:bottom w:val="single" w:sz="12" w:space="0" w:color="000000"/>
              <w:right w:val="single" w:sz="6" w:space="0" w:color="000000"/>
            </w:tcBorders>
          </w:tcPr>
          <w:p w:rsidR="00B67CF2" w:rsidRPr="008C3C54" w:rsidRDefault="00B67CF2" w:rsidP="008C3C54">
            <w:pPr>
              <w:pStyle w:val="Textetableau"/>
            </w:pPr>
            <w:r w:rsidRPr="008C3C54">
              <w:t>26,2</w:t>
            </w:r>
          </w:p>
        </w:tc>
        <w:tc>
          <w:tcPr>
            <w:tcW w:w="541" w:type="pct"/>
            <w:tcBorders>
              <w:left w:val="single" w:sz="6" w:space="0" w:color="000000"/>
              <w:bottom w:val="single" w:sz="12" w:space="0" w:color="000000"/>
              <w:right w:val="single" w:sz="12" w:space="0" w:color="000000"/>
            </w:tcBorders>
          </w:tcPr>
          <w:p w:rsidR="00B67CF2" w:rsidRPr="008C3C54" w:rsidRDefault="00B67CF2" w:rsidP="008C3C54">
            <w:pPr>
              <w:pStyle w:val="Textetableau"/>
            </w:pPr>
            <w:r w:rsidRPr="008C3C54">
              <w:t>1661</w:t>
            </w:r>
          </w:p>
        </w:tc>
        <w:tc>
          <w:tcPr>
            <w:tcW w:w="337" w:type="pct"/>
            <w:tcBorders>
              <w:left w:val="single" w:sz="6" w:space="0" w:color="000000"/>
              <w:bottom w:val="single" w:sz="12" w:space="0" w:color="000000"/>
              <w:right w:val="single" w:sz="12" w:space="0" w:color="000000"/>
            </w:tcBorders>
          </w:tcPr>
          <w:p w:rsidR="00B67CF2" w:rsidRPr="008C3C54" w:rsidRDefault="00B67CF2" w:rsidP="008C3C54">
            <w:pPr>
              <w:pStyle w:val="Textetableau"/>
            </w:pPr>
            <w:r w:rsidRPr="008C3C54">
              <w:t>24,1</w:t>
            </w:r>
          </w:p>
        </w:tc>
      </w:tr>
    </w:tbl>
    <w:p w:rsidR="00B67CF2" w:rsidRPr="000D4AE1" w:rsidRDefault="00B67CF2" w:rsidP="00A07AFC">
      <w:pPr>
        <w:pStyle w:val="Titre3"/>
      </w:pPr>
      <w:bookmarkStart w:id="27" w:name="_Toc336716604"/>
      <w:bookmarkStart w:id="28" w:name="_Toc398658420"/>
      <w:r w:rsidRPr="000D4AE1">
        <w:t>Ratios de TPE pour 1 000 habitants</w:t>
      </w:r>
      <w:bookmarkEnd w:id="27"/>
      <w:bookmarkEnd w:id="28"/>
    </w:p>
    <w:p w:rsidR="00B67CF2" w:rsidRDefault="00B67CF2" w:rsidP="00A07AFC">
      <w:pPr>
        <w:pStyle w:val="Corpsdetexte"/>
      </w:pPr>
      <w:r>
        <w:t>Les très petites entreprises (TPE) sont le plus fortement représentées, du point de vue numérique, dans les pays du sud de l’Europe : Grèce, Italie, Portugal, Espagne. Ce tableau montre par exemple que le ratio de TPE pour 1000 habitants est en Espagne (48,6) une fois et demi plus élevé qu’en Allemagne (30,2) (et presque deux fois plus élevé qu’au Portugal qui affiche un ratio pour 1000 habitants de 58,7) ; la France avec une valeur de 33,2 occupe une position médiane entre l’Allemagne et l’Angleterre.</w:t>
      </w:r>
    </w:p>
    <w:p w:rsidR="00B67CF2" w:rsidRPr="00137D7B" w:rsidRDefault="00B67CF2" w:rsidP="00137D7B">
      <w:pPr>
        <w:pStyle w:val="TABLEAULEGENDE"/>
      </w:pPr>
      <w:r w:rsidRPr="00137D7B">
        <w:t>Rati</w:t>
      </w:r>
      <w:r w:rsidR="00137D7B">
        <w:t>os de TPE pour 1 000 habitants</w:t>
      </w:r>
      <w:r w:rsidR="00C826F6">
        <w:t xml:space="preserve"> </w:t>
      </w:r>
      <w:r w:rsidRPr="00137D7B">
        <w:t xml:space="preserve">(Populations retenues en millions : source INSEE 1989) </w:t>
      </w:r>
    </w:p>
    <w:tbl>
      <w:tblPr>
        <w:tblW w:w="0" w:type="auto"/>
        <w:tblLayout w:type="fixed"/>
        <w:tblCellMar>
          <w:left w:w="70" w:type="dxa"/>
          <w:right w:w="70" w:type="dxa"/>
        </w:tblCellMar>
        <w:tblLook w:val="00A0" w:firstRow="1" w:lastRow="0" w:firstColumn="1" w:lastColumn="0" w:noHBand="0" w:noVBand="0"/>
      </w:tblPr>
      <w:tblGrid>
        <w:gridCol w:w="2092"/>
        <w:gridCol w:w="1442"/>
        <w:gridCol w:w="1443"/>
        <w:gridCol w:w="1876"/>
        <w:gridCol w:w="1790"/>
      </w:tblGrid>
      <w:tr w:rsidR="00B67CF2">
        <w:trPr>
          <w:cantSplit/>
          <w:trHeight w:val="240"/>
        </w:trPr>
        <w:tc>
          <w:tcPr>
            <w:tcW w:w="2092" w:type="dxa"/>
            <w:tcBorders>
              <w:top w:val="single" w:sz="12" w:space="0" w:color="000000"/>
              <w:left w:val="single" w:sz="12" w:space="0" w:color="000000"/>
              <w:bottom w:val="single" w:sz="6" w:space="0" w:color="000000"/>
              <w:right w:val="single" w:sz="6" w:space="0" w:color="000000"/>
            </w:tcBorders>
          </w:tcPr>
          <w:p w:rsidR="00B67CF2" w:rsidRPr="008C3C54" w:rsidRDefault="00B67CF2" w:rsidP="00D25A31">
            <w:pPr>
              <w:pStyle w:val="Titretableau"/>
            </w:pPr>
            <w:r w:rsidRPr="008C3C54">
              <w:t>1988</w:t>
            </w:r>
          </w:p>
        </w:tc>
        <w:tc>
          <w:tcPr>
            <w:tcW w:w="1442" w:type="dxa"/>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France</w:t>
            </w:r>
          </w:p>
        </w:tc>
        <w:tc>
          <w:tcPr>
            <w:tcW w:w="1443" w:type="dxa"/>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Allemagne</w:t>
            </w:r>
          </w:p>
        </w:tc>
        <w:tc>
          <w:tcPr>
            <w:tcW w:w="1876" w:type="dxa"/>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Royaume-Uni</w:t>
            </w:r>
          </w:p>
        </w:tc>
        <w:tc>
          <w:tcPr>
            <w:tcW w:w="1790" w:type="dxa"/>
            <w:tcBorders>
              <w:top w:val="single" w:sz="12" w:space="0" w:color="000000"/>
              <w:left w:val="single" w:sz="6" w:space="0" w:color="000000"/>
              <w:bottom w:val="single" w:sz="6" w:space="0" w:color="000000"/>
              <w:right w:val="single" w:sz="12" w:space="0" w:color="000000"/>
            </w:tcBorders>
          </w:tcPr>
          <w:p w:rsidR="00B67CF2" w:rsidRPr="008C3C54" w:rsidRDefault="00B67CF2" w:rsidP="00D25A31">
            <w:pPr>
              <w:pStyle w:val="Titretableau"/>
            </w:pPr>
            <w:r w:rsidRPr="008C3C54">
              <w:t>Espagne</w:t>
            </w:r>
          </w:p>
        </w:tc>
      </w:tr>
      <w:tr w:rsidR="00B67CF2">
        <w:trPr>
          <w:cantSplit/>
          <w:trHeight w:val="240"/>
        </w:trPr>
        <w:tc>
          <w:tcPr>
            <w:tcW w:w="2092" w:type="dxa"/>
            <w:tcBorders>
              <w:left w:val="single" w:sz="12" w:space="0" w:color="000000"/>
              <w:right w:val="single" w:sz="6" w:space="0" w:color="000000"/>
            </w:tcBorders>
          </w:tcPr>
          <w:p w:rsidR="00B67CF2" w:rsidRPr="008C3C54" w:rsidRDefault="00B67CF2" w:rsidP="00D25A31">
            <w:pPr>
              <w:pStyle w:val="Titretableau"/>
            </w:pPr>
            <w:r w:rsidRPr="008C3C54">
              <w:t>Industrie</w:t>
            </w:r>
          </w:p>
        </w:tc>
        <w:tc>
          <w:tcPr>
            <w:tcW w:w="1442" w:type="dxa"/>
            <w:tcBorders>
              <w:left w:val="single" w:sz="6" w:space="0" w:color="000000"/>
              <w:right w:val="single" w:sz="6" w:space="0" w:color="000000"/>
            </w:tcBorders>
          </w:tcPr>
          <w:p w:rsidR="00B67CF2" w:rsidRDefault="00B67CF2" w:rsidP="008C3C54">
            <w:pPr>
              <w:pStyle w:val="Textetableau"/>
            </w:pPr>
            <w:r>
              <w:t>3</w:t>
            </w:r>
          </w:p>
        </w:tc>
        <w:tc>
          <w:tcPr>
            <w:tcW w:w="1443" w:type="dxa"/>
            <w:tcBorders>
              <w:left w:val="single" w:sz="6" w:space="0" w:color="000000"/>
              <w:right w:val="single" w:sz="6" w:space="0" w:color="000000"/>
            </w:tcBorders>
          </w:tcPr>
          <w:p w:rsidR="00B67CF2" w:rsidRDefault="00B67CF2" w:rsidP="008C3C54">
            <w:pPr>
              <w:pStyle w:val="Textetableau"/>
            </w:pPr>
            <w:r>
              <w:t>3,5</w:t>
            </w:r>
          </w:p>
        </w:tc>
        <w:tc>
          <w:tcPr>
            <w:tcW w:w="1876" w:type="dxa"/>
            <w:tcBorders>
              <w:left w:val="single" w:sz="6" w:space="0" w:color="000000"/>
              <w:right w:val="single" w:sz="6" w:space="0" w:color="000000"/>
            </w:tcBorders>
          </w:tcPr>
          <w:p w:rsidR="00B67CF2" w:rsidRDefault="00B67CF2" w:rsidP="008C3C54">
            <w:pPr>
              <w:pStyle w:val="Textetableau"/>
            </w:pPr>
            <w:r>
              <w:t>4,2</w:t>
            </w:r>
          </w:p>
        </w:tc>
        <w:tc>
          <w:tcPr>
            <w:tcW w:w="1790" w:type="dxa"/>
            <w:tcBorders>
              <w:left w:val="single" w:sz="6" w:space="0" w:color="000000"/>
              <w:right w:val="single" w:sz="12" w:space="0" w:color="000000"/>
            </w:tcBorders>
          </w:tcPr>
          <w:p w:rsidR="00B67CF2" w:rsidRDefault="00B67CF2" w:rsidP="008C3C54">
            <w:pPr>
              <w:pStyle w:val="Textetableau"/>
            </w:pPr>
            <w:r>
              <w:t>8,9</w:t>
            </w:r>
          </w:p>
        </w:tc>
      </w:tr>
      <w:tr w:rsidR="00B67CF2">
        <w:trPr>
          <w:cantSplit/>
          <w:trHeight w:val="240"/>
        </w:trPr>
        <w:tc>
          <w:tcPr>
            <w:tcW w:w="2092" w:type="dxa"/>
            <w:tcBorders>
              <w:left w:val="single" w:sz="12" w:space="0" w:color="000000"/>
              <w:right w:val="single" w:sz="6" w:space="0" w:color="000000"/>
            </w:tcBorders>
          </w:tcPr>
          <w:p w:rsidR="00B67CF2" w:rsidRPr="008C3C54" w:rsidRDefault="00B67CF2" w:rsidP="00D25A31">
            <w:pPr>
              <w:pStyle w:val="Titretableau"/>
            </w:pPr>
            <w:r w:rsidRPr="008C3C54">
              <w:t>Construction</w:t>
            </w:r>
          </w:p>
        </w:tc>
        <w:tc>
          <w:tcPr>
            <w:tcW w:w="1442" w:type="dxa"/>
            <w:tcBorders>
              <w:left w:val="single" w:sz="6" w:space="0" w:color="000000"/>
              <w:right w:val="single" w:sz="6" w:space="0" w:color="000000"/>
            </w:tcBorders>
          </w:tcPr>
          <w:p w:rsidR="00B67CF2" w:rsidRDefault="00B67CF2" w:rsidP="008C3C54">
            <w:pPr>
              <w:pStyle w:val="Textetableau"/>
            </w:pPr>
            <w:r>
              <w:t>4,6</w:t>
            </w:r>
          </w:p>
        </w:tc>
        <w:tc>
          <w:tcPr>
            <w:tcW w:w="1443" w:type="dxa"/>
            <w:tcBorders>
              <w:left w:val="single" w:sz="6" w:space="0" w:color="000000"/>
              <w:right w:val="single" w:sz="6" w:space="0" w:color="000000"/>
            </w:tcBorders>
          </w:tcPr>
          <w:p w:rsidR="00B67CF2" w:rsidRDefault="00B67CF2" w:rsidP="008C3C54">
            <w:pPr>
              <w:pStyle w:val="Textetableau"/>
            </w:pPr>
            <w:r>
              <w:t>2,3</w:t>
            </w:r>
          </w:p>
        </w:tc>
        <w:tc>
          <w:tcPr>
            <w:tcW w:w="1876" w:type="dxa"/>
            <w:tcBorders>
              <w:left w:val="single" w:sz="6" w:space="0" w:color="000000"/>
              <w:right w:val="single" w:sz="6" w:space="0" w:color="000000"/>
            </w:tcBorders>
          </w:tcPr>
          <w:p w:rsidR="00B67CF2" w:rsidRDefault="00B67CF2" w:rsidP="008C3C54">
            <w:pPr>
              <w:pStyle w:val="Textetableau"/>
            </w:pPr>
            <w:r>
              <w:t>10,3</w:t>
            </w:r>
          </w:p>
        </w:tc>
        <w:tc>
          <w:tcPr>
            <w:tcW w:w="1790" w:type="dxa"/>
            <w:tcBorders>
              <w:left w:val="single" w:sz="6" w:space="0" w:color="000000"/>
              <w:right w:val="single" w:sz="12" w:space="0" w:color="000000"/>
            </w:tcBorders>
          </w:tcPr>
          <w:p w:rsidR="00B67CF2" w:rsidRDefault="00B67CF2" w:rsidP="008C3C54">
            <w:pPr>
              <w:pStyle w:val="Textetableau"/>
            </w:pPr>
            <w:r>
              <w:t>8,5</w:t>
            </w:r>
          </w:p>
        </w:tc>
      </w:tr>
      <w:tr w:rsidR="00B67CF2">
        <w:trPr>
          <w:cantSplit/>
          <w:trHeight w:val="240"/>
        </w:trPr>
        <w:tc>
          <w:tcPr>
            <w:tcW w:w="2092" w:type="dxa"/>
            <w:tcBorders>
              <w:left w:val="single" w:sz="12" w:space="0" w:color="000000"/>
              <w:right w:val="single" w:sz="6" w:space="0" w:color="000000"/>
            </w:tcBorders>
          </w:tcPr>
          <w:p w:rsidR="00B67CF2" w:rsidRPr="008C3C54" w:rsidRDefault="00B67CF2" w:rsidP="00D25A31">
            <w:pPr>
              <w:pStyle w:val="Titretableau"/>
            </w:pPr>
            <w:r w:rsidRPr="008C3C54">
              <w:t>Services</w:t>
            </w:r>
          </w:p>
        </w:tc>
        <w:tc>
          <w:tcPr>
            <w:tcW w:w="1442" w:type="dxa"/>
            <w:tcBorders>
              <w:left w:val="single" w:sz="6" w:space="0" w:color="000000"/>
              <w:right w:val="single" w:sz="6" w:space="0" w:color="000000"/>
            </w:tcBorders>
          </w:tcPr>
          <w:p w:rsidR="00B67CF2" w:rsidRDefault="00B67CF2" w:rsidP="008C3C54">
            <w:pPr>
              <w:pStyle w:val="Textetableau"/>
            </w:pPr>
            <w:r>
              <w:t>25,8</w:t>
            </w:r>
          </w:p>
        </w:tc>
        <w:tc>
          <w:tcPr>
            <w:tcW w:w="1443" w:type="dxa"/>
            <w:tcBorders>
              <w:left w:val="single" w:sz="6" w:space="0" w:color="000000"/>
              <w:right w:val="single" w:sz="6" w:space="0" w:color="000000"/>
            </w:tcBorders>
          </w:tcPr>
          <w:p w:rsidR="00B67CF2" w:rsidRDefault="00B67CF2" w:rsidP="008C3C54">
            <w:pPr>
              <w:pStyle w:val="Textetableau"/>
            </w:pPr>
            <w:r>
              <w:t>24,4</w:t>
            </w:r>
          </w:p>
        </w:tc>
        <w:tc>
          <w:tcPr>
            <w:tcW w:w="1876" w:type="dxa"/>
            <w:tcBorders>
              <w:left w:val="single" w:sz="6" w:space="0" w:color="000000"/>
              <w:right w:val="single" w:sz="6" w:space="0" w:color="000000"/>
            </w:tcBorders>
          </w:tcPr>
          <w:p w:rsidR="00B67CF2" w:rsidRDefault="00B67CF2" w:rsidP="008C3C54">
            <w:pPr>
              <w:pStyle w:val="Textetableau"/>
            </w:pPr>
            <w:r>
              <w:t>28,3</w:t>
            </w:r>
          </w:p>
        </w:tc>
        <w:tc>
          <w:tcPr>
            <w:tcW w:w="1790" w:type="dxa"/>
            <w:tcBorders>
              <w:left w:val="single" w:sz="6" w:space="0" w:color="000000"/>
              <w:right w:val="single" w:sz="12" w:space="0" w:color="000000"/>
            </w:tcBorders>
          </w:tcPr>
          <w:p w:rsidR="00B67CF2" w:rsidRDefault="00B67CF2" w:rsidP="008C3C54">
            <w:pPr>
              <w:pStyle w:val="Textetableau"/>
            </w:pPr>
            <w:r>
              <w:t>31,2</w:t>
            </w:r>
          </w:p>
        </w:tc>
      </w:tr>
      <w:tr w:rsidR="00B67CF2">
        <w:trPr>
          <w:cantSplit/>
          <w:trHeight w:val="240"/>
        </w:trPr>
        <w:tc>
          <w:tcPr>
            <w:tcW w:w="2092" w:type="dxa"/>
            <w:tcBorders>
              <w:left w:val="single" w:sz="12" w:space="0" w:color="000000"/>
              <w:bottom w:val="single" w:sz="12" w:space="0" w:color="000000"/>
              <w:right w:val="single" w:sz="6" w:space="0" w:color="000000"/>
            </w:tcBorders>
          </w:tcPr>
          <w:p w:rsidR="00B67CF2" w:rsidRPr="008C3C54" w:rsidRDefault="00B67CF2" w:rsidP="00D25A31">
            <w:pPr>
              <w:pStyle w:val="Titretableau"/>
            </w:pPr>
            <w:r w:rsidRPr="008C3C54">
              <w:t>Ensemble</w:t>
            </w:r>
          </w:p>
        </w:tc>
        <w:tc>
          <w:tcPr>
            <w:tcW w:w="1442" w:type="dxa"/>
            <w:tcBorders>
              <w:left w:val="single" w:sz="6" w:space="0" w:color="000000"/>
              <w:bottom w:val="single" w:sz="12" w:space="0" w:color="000000"/>
              <w:right w:val="single" w:sz="6" w:space="0" w:color="000000"/>
            </w:tcBorders>
          </w:tcPr>
          <w:p w:rsidR="00B67CF2" w:rsidRDefault="00B67CF2" w:rsidP="008C3C54">
            <w:pPr>
              <w:pStyle w:val="Textetableau"/>
            </w:pPr>
            <w:r>
              <w:t>33,4</w:t>
            </w:r>
          </w:p>
        </w:tc>
        <w:tc>
          <w:tcPr>
            <w:tcW w:w="1443" w:type="dxa"/>
            <w:tcBorders>
              <w:left w:val="single" w:sz="6" w:space="0" w:color="000000"/>
              <w:bottom w:val="single" w:sz="12" w:space="0" w:color="000000"/>
              <w:right w:val="single" w:sz="6" w:space="0" w:color="000000"/>
            </w:tcBorders>
          </w:tcPr>
          <w:p w:rsidR="00B67CF2" w:rsidRDefault="00B67CF2" w:rsidP="008C3C54">
            <w:pPr>
              <w:pStyle w:val="Textetableau"/>
            </w:pPr>
            <w:r>
              <w:t>30,2</w:t>
            </w:r>
          </w:p>
        </w:tc>
        <w:tc>
          <w:tcPr>
            <w:tcW w:w="1876" w:type="dxa"/>
            <w:tcBorders>
              <w:left w:val="single" w:sz="6" w:space="0" w:color="000000"/>
              <w:bottom w:val="single" w:sz="12" w:space="0" w:color="000000"/>
              <w:right w:val="single" w:sz="6" w:space="0" w:color="000000"/>
            </w:tcBorders>
          </w:tcPr>
          <w:p w:rsidR="00B67CF2" w:rsidRDefault="00B67CF2" w:rsidP="008C3C54">
            <w:pPr>
              <w:pStyle w:val="Textetableau"/>
            </w:pPr>
            <w:r>
              <w:t>42,8</w:t>
            </w:r>
          </w:p>
        </w:tc>
        <w:tc>
          <w:tcPr>
            <w:tcW w:w="1790" w:type="dxa"/>
            <w:tcBorders>
              <w:left w:val="single" w:sz="6" w:space="0" w:color="000000"/>
              <w:bottom w:val="single" w:sz="12" w:space="0" w:color="000000"/>
              <w:right w:val="single" w:sz="12" w:space="0" w:color="000000"/>
            </w:tcBorders>
          </w:tcPr>
          <w:p w:rsidR="00B67CF2" w:rsidRDefault="00B67CF2" w:rsidP="008C3C54">
            <w:pPr>
              <w:pStyle w:val="Textetableau"/>
            </w:pPr>
            <w:r>
              <w:t>48,6</w:t>
            </w:r>
          </w:p>
        </w:tc>
      </w:tr>
    </w:tbl>
    <w:p w:rsidR="00B67CF2" w:rsidRDefault="00B67CF2" w:rsidP="002C7BAC">
      <w:pPr>
        <w:pStyle w:val="Titre2"/>
      </w:pPr>
      <w:bookmarkStart w:id="29" w:name="_Toc333377548"/>
      <w:bookmarkStart w:id="30" w:name="_Toc336716605"/>
      <w:bookmarkStart w:id="31" w:name="_Toc398658421"/>
      <w:r>
        <w:t>Les petites entreprises en France</w:t>
      </w:r>
      <w:bookmarkEnd w:id="29"/>
      <w:r>
        <w:t>, structure et implantation</w:t>
      </w:r>
      <w:bookmarkEnd w:id="30"/>
      <w:bookmarkEnd w:id="31"/>
    </w:p>
    <w:p w:rsidR="00F42EAB" w:rsidRDefault="00B67CF2" w:rsidP="00A07AFC">
      <w:pPr>
        <w:pStyle w:val="Corpsdetexte"/>
      </w:pPr>
      <w:r>
        <w:t>En France il n’existe pas de définition légale de la Très Petite Entreprise (TPE), mais coexistent au contraire plusieurs approches dont l’utilisation dépend de l’usage attendu.</w:t>
      </w:r>
    </w:p>
    <w:p w:rsidR="00F42EAB" w:rsidRDefault="00B67CF2" w:rsidP="00A07AFC">
      <w:pPr>
        <w:pStyle w:val="Corpsdetexte"/>
      </w:pPr>
      <w:r>
        <w:t xml:space="preserve">En France, l’expression de PME recouvre le plus souvent les entreprises employant de 0 à 499 salariés (les catégories 1 à 3 de la classification d’EUROSTAT). Elle concerne donc une population assez hétéroclite, d’autant </w:t>
      </w:r>
      <w:r>
        <w:lastRenderedPageBreak/>
        <w:t>que la catégorie 1 (0 à 9 salariés) contient elle-même deux types d’entreprises très différentes : celles qui n’ont aucun salarié (souvent des entreprises de forme individuelle), et qui représentent la moitié de l’ensemble des PME ; et par ailleurs celles qui emploient de 1 à 9 personnes.</w:t>
      </w:r>
    </w:p>
    <w:p w:rsidR="00B67CF2" w:rsidRDefault="00B67CF2" w:rsidP="00A07AFC">
      <w:pPr>
        <w:pStyle w:val="Corpsdetexte"/>
      </w:pPr>
      <w:r>
        <w:t>Toutefois des seuils réglementaires, celui d’assujettissement à contribution (formation, transport...) à partir de 10 salariés, et un second à partir de 11 salariés (élection d’un délégué du personnel, repos compensateur...), font apparaître clairement une rupture dans la distribution des entreprises selon leur effectif salarié.</w:t>
      </w:r>
    </w:p>
    <w:p w:rsidR="00B67CF2" w:rsidRDefault="00B67CF2" w:rsidP="00A07AFC">
      <w:pPr>
        <w:pStyle w:val="Corpsdetexte"/>
      </w:pPr>
      <w:r>
        <w:t>On peut donc penser qu’en France, une entreprise est très petite jusqu’à 10 salariés</w:t>
      </w:r>
      <w:r>
        <w:rPr>
          <w:rStyle w:val="Appelnotedebasdep"/>
          <w:sz w:val="22"/>
        </w:rPr>
        <w:footnoteReference w:id="13"/>
      </w:r>
      <w:r>
        <w:t>.</w:t>
      </w:r>
    </w:p>
    <w:p w:rsidR="00B67CF2" w:rsidRPr="008C3C54" w:rsidRDefault="00B67CF2" w:rsidP="00A07AFC">
      <w:pPr>
        <w:pStyle w:val="Titre3"/>
      </w:pPr>
      <w:bookmarkStart w:id="32" w:name="_Toc336716606"/>
      <w:bookmarkStart w:id="33" w:name="_Toc398658422"/>
      <w:r w:rsidRPr="008C3C54">
        <w:t>Répartition nationale des entreprises de petites tailles par secteur d’activité</w:t>
      </w:r>
      <w:bookmarkEnd w:id="32"/>
      <w:bookmarkEnd w:id="33"/>
    </w:p>
    <w:p w:rsidR="00B67CF2" w:rsidRDefault="00B67CF2" w:rsidP="00A07AFC">
      <w:pPr>
        <w:pStyle w:val="Corpsdetexte"/>
      </w:pPr>
      <w:r>
        <w:t>La majorité des petites entreprises se trouve d’abord dans les services. Ils représentent 39</w:t>
      </w:r>
      <w:r w:rsidR="005E0833">
        <w:t xml:space="preserve"> %</w:t>
      </w:r>
      <w:r>
        <w:t xml:space="preserve"> de l’emploi marchand non agricole en France, En revanche, l’emploi des entreprises de très petites tailles dans l’industrie est relativement faible (environ un dixième). 45</w:t>
      </w:r>
      <w:r w:rsidR="005E0833">
        <w:t xml:space="preserve"> %</w:t>
      </w:r>
      <w:r>
        <w:t xml:space="preserve"> de ces TPE n’ont aucun salarié. Leur répartition par secteur est relativement hétérogène, certains secteurs des biens de consommation courante (imprimerie, textile, ameublement, caoutchouc, bijouterie) regroupent la moitié des entreprises industrielles de moins de 20 salariés. Le travail des métaux vient ensuite avec 27</w:t>
      </w:r>
      <w:r w:rsidR="005E0833">
        <w:t xml:space="preserve"> %</w:t>
      </w:r>
      <w:r>
        <w:t>, puis l’électronique (6</w:t>
      </w:r>
      <w:r w:rsidR="005E0833">
        <w:t xml:space="preserve"> %</w:t>
      </w:r>
      <w:r>
        <w:t>).</w:t>
      </w:r>
    </w:p>
    <w:p w:rsidR="00B67CF2" w:rsidRDefault="00B67CF2" w:rsidP="00A07AFC">
      <w:pPr>
        <w:pStyle w:val="Corpsdetexte"/>
      </w:pPr>
      <w:r>
        <w:t>Toutefois cela n’implique pas que toutes les entreprises industrielles sont de grandes tailles, 93</w:t>
      </w:r>
      <w:r w:rsidR="005E0833">
        <w:t xml:space="preserve"> %</w:t>
      </w:r>
      <w:r>
        <w:t xml:space="preserve"> d’entre elles ont moins de 20 salariés. Elles rassemblent plus de 600 000 personnes, soit 13</w:t>
      </w:r>
      <w:r w:rsidR="005E0833">
        <w:t xml:space="preserve"> %</w:t>
      </w:r>
      <w:r>
        <w:t xml:space="preserve"> de la population active de l’industrie et </w:t>
      </w:r>
      <w:proofErr w:type="spellStart"/>
      <w:r>
        <w:t>prés</w:t>
      </w:r>
      <w:proofErr w:type="spellEnd"/>
      <w:r>
        <w:t xml:space="preserve"> de 3</w:t>
      </w:r>
      <w:r w:rsidR="005E0833">
        <w:t xml:space="preserve"> %</w:t>
      </w:r>
      <w:r>
        <w:t xml:space="preserve"> de la population active totale.</w:t>
      </w:r>
    </w:p>
    <w:p w:rsidR="00F42EAB" w:rsidRDefault="00B67CF2" w:rsidP="00A07AFC">
      <w:pPr>
        <w:pStyle w:val="Corpsdetexte"/>
      </w:pPr>
      <w:r>
        <w:t>En fait, les entreprises employant de 0 à 49 salariés fournissent la plus grande part des emplois marchands non agricoles. Et dans tous les secteurs la part des petites entreprises a eu tendance à s’élargir en France ces dernières années comme dans l’ensemble de la Communauté Européenne, surtout depuis la fin des années 80.</w:t>
      </w:r>
    </w:p>
    <w:p w:rsidR="00B67CF2" w:rsidRDefault="000676CD" w:rsidP="00A07AFC">
      <w:pPr>
        <w:pStyle w:val="Corpsdetexte"/>
        <w:rPr>
          <w:sz w:val="22"/>
        </w:rPr>
      </w:pPr>
      <w:r w:rsidRPr="008714C2">
        <w:rPr>
          <w:rStyle w:val="Accentuation"/>
        </w:rPr>
        <w:t>À</w:t>
      </w:r>
      <w:r w:rsidR="00B67CF2" w:rsidRPr="008714C2">
        <w:rPr>
          <w:rStyle w:val="Accentuation"/>
        </w:rPr>
        <w:t xml:space="preserve"> ce propos nous pouvons souligner que « cette tendance apparaît d’autant plus remarquable que l’on a longtemps vécu, plus ou moins consciemment, sur l’idée </w:t>
      </w:r>
      <w:r w:rsidR="00B67CF2" w:rsidRPr="008714C2">
        <w:rPr>
          <w:rStyle w:val="Accentuation"/>
        </w:rPr>
        <w:lastRenderedPageBreak/>
        <w:t>inverse, celle de la création d’emplois par de grands groupes « fers de lance » de l’économie »</w:t>
      </w:r>
      <w:r w:rsidR="00B67CF2" w:rsidRPr="00A07AFC">
        <w:rPr>
          <w:rStyle w:val="Appelnotedebasdep"/>
          <w:i/>
          <w:iCs/>
          <w:sz w:val="22"/>
        </w:rPr>
        <w:footnoteReference w:id="14"/>
      </w:r>
      <w:r w:rsidR="00B67CF2">
        <w:rPr>
          <w:sz w:val="22"/>
        </w:rPr>
        <w:t>.</w:t>
      </w:r>
    </w:p>
    <w:p w:rsidR="00B67CF2" w:rsidRPr="00137D7B" w:rsidRDefault="00B67CF2" w:rsidP="00137D7B">
      <w:pPr>
        <w:pStyle w:val="TABLEAULEGENDE"/>
      </w:pPr>
      <w:r w:rsidRPr="00137D7B">
        <w:t>Nombre de salariés et nombre d’entreprises par tranche de salariés (1992)</w:t>
      </w:r>
    </w:p>
    <w:tbl>
      <w:tblPr>
        <w:tblW w:w="0" w:type="auto"/>
        <w:tblLayout w:type="fixed"/>
        <w:tblCellMar>
          <w:left w:w="70" w:type="dxa"/>
          <w:right w:w="70" w:type="dxa"/>
        </w:tblCellMar>
        <w:tblLook w:val="00A0" w:firstRow="1" w:lastRow="0" w:firstColumn="1" w:lastColumn="0" w:noHBand="0" w:noVBand="0"/>
      </w:tblPr>
      <w:tblGrid>
        <w:gridCol w:w="2749"/>
        <w:gridCol w:w="2995"/>
        <w:gridCol w:w="2900"/>
      </w:tblGrid>
      <w:tr w:rsidR="00B67CF2">
        <w:trPr>
          <w:cantSplit/>
        </w:trPr>
        <w:tc>
          <w:tcPr>
            <w:tcW w:w="2749" w:type="dxa"/>
            <w:tcBorders>
              <w:top w:val="single" w:sz="12" w:space="0" w:color="000000"/>
              <w:left w:val="single" w:sz="12" w:space="0" w:color="000000"/>
              <w:bottom w:val="single" w:sz="6" w:space="0" w:color="000000"/>
              <w:right w:val="single" w:sz="6" w:space="0" w:color="000000"/>
            </w:tcBorders>
          </w:tcPr>
          <w:p w:rsidR="00B67CF2" w:rsidRPr="008C3C54" w:rsidRDefault="00B67CF2" w:rsidP="00D25A31">
            <w:pPr>
              <w:pStyle w:val="Titretableau"/>
            </w:pPr>
            <w:r w:rsidRPr="008C3C54">
              <w:t>Nombre de salariés</w:t>
            </w:r>
          </w:p>
        </w:tc>
        <w:tc>
          <w:tcPr>
            <w:tcW w:w="2995" w:type="dxa"/>
            <w:tcBorders>
              <w:top w:val="single" w:sz="12" w:space="0" w:color="000000"/>
              <w:left w:val="single" w:sz="6" w:space="0" w:color="000000"/>
              <w:bottom w:val="single" w:sz="6" w:space="0" w:color="000000"/>
              <w:right w:val="single" w:sz="6" w:space="0" w:color="000000"/>
            </w:tcBorders>
          </w:tcPr>
          <w:p w:rsidR="00B67CF2" w:rsidRPr="008C3C54" w:rsidRDefault="00B67CF2" w:rsidP="00D25A31">
            <w:pPr>
              <w:pStyle w:val="Titretableau"/>
            </w:pPr>
            <w:r w:rsidRPr="008C3C54">
              <w:t>Nombre d’entreprises</w:t>
            </w:r>
          </w:p>
        </w:tc>
        <w:tc>
          <w:tcPr>
            <w:tcW w:w="2900" w:type="dxa"/>
            <w:tcBorders>
              <w:top w:val="single" w:sz="12" w:space="0" w:color="000000"/>
              <w:left w:val="single" w:sz="6" w:space="0" w:color="000000"/>
              <w:bottom w:val="single" w:sz="6" w:space="0" w:color="000000"/>
              <w:right w:val="single" w:sz="12" w:space="0" w:color="000000"/>
            </w:tcBorders>
          </w:tcPr>
          <w:p w:rsidR="00F42EAB" w:rsidRDefault="00B67CF2" w:rsidP="00D25A31">
            <w:pPr>
              <w:pStyle w:val="Titretableau"/>
            </w:pPr>
            <w:r w:rsidRPr="008C3C54">
              <w:t>Part dans le total</w:t>
            </w:r>
          </w:p>
          <w:p w:rsidR="00B67CF2" w:rsidRPr="008C3C54" w:rsidRDefault="00B67CF2" w:rsidP="00D25A31">
            <w:pPr>
              <w:pStyle w:val="Titretableau"/>
            </w:pPr>
            <w:r w:rsidRPr="008C3C54">
              <w:t>des entreprises en</w:t>
            </w:r>
            <w:r w:rsidR="005E0833">
              <w:t xml:space="preserve"> %</w:t>
            </w:r>
          </w:p>
        </w:tc>
      </w:tr>
      <w:tr w:rsidR="00B67CF2">
        <w:trPr>
          <w:cantSplit/>
        </w:trPr>
        <w:tc>
          <w:tcPr>
            <w:tcW w:w="2749" w:type="dxa"/>
            <w:tcBorders>
              <w:left w:val="single" w:sz="12" w:space="0" w:color="000000"/>
              <w:right w:val="single" w:sz="6" w:space="0" w:color="000000"/>
            </w:tcBorders>
          </w:tcPr>
          <w:p w:rsidR="00B67CF2" w:rsidRPr="008C3C54" w:rsidRDefault="00B67CF2" w:rsidP="00D25A31">
            <w:pPr>
              <w:pStyle w:val="Titretableau"/>
            </w:pPr>
            <w:r w:rsidRPr="008C3C54">
              <w:t>0-9</w:t>
            </w:r>
          </w:p>
        </w:tc>
        <w:tc>
          <w:tcPr>
            <w:tcW w:w="2995" w:type="dxa"/>
            <w:tcBorders>
              <w:left w:val="single" w:sz="6" w:space="0" w:color="000000"/>
              <w:right w:val="single" w:sz="6" w:space="0" w:color="000000"/>
            </w:tcBorders>
          </w:tcPr>
          <w:p w:rsidR="00B67CF2" w:rsidRDefault="00B67CF2" w:rsidP="008C3C54">
            <w:pPr>
              <w:pStyle w:val="Textetableau"/>
            </w:pPr>
            <w:r>
              <w:t>3 168 039</w:t>
            </w:r>
          </w:p>
        </w:tc>
        <w:tc>
          <w:tcPr>
            <w:tcW w:w="2900" w:type="dxa"/>
            <w:tcBorders>
              <w:left w:val="single" w:sz="6" w:space="0" w:color="000000"/>
              <w:right w:val="single" w:sz="12" w:space="0" w:color="000000"/>
            </w:tcBorders>
          </w:tcPr>
          <w:p w:rsidR="00B67CF2" w:rsidRDefault="00B67CF2" w:rsidP="008C3C54">
            <w:pPr>
              <w:pStyle w:val="Textetableau"/>
            </w:pPr>
            <w:r>
              <w:t>93,6</w:t>
            </w:r>
          </w:p>
        </w:tc>
      </w:tr>
      <w:tr w:rsidR="00B67CF2">
        <w:trPr>
          <w:cantSplit/>
        </w:trPr>
        <w:tc>
          <w:tcPr>
            <w:tcW w:w="2749" w:type="dxa"/>
            <w:tcBorders>
              <w:left w:val="single" w:sz="12" w:space="0" w:color="000000"/>
              <w:right w:val="single" w:sz="6" w:space="0" w:color="000000"/>
            </w:tcBorders>
          </w:tcPr>
          <w:p w:rsidR="00B67CF2" w:rsidRPr="008C3C54" w:rsidRDefault="00B67CF2" w:rsidP="00D25A31">
            <w:pPr>
              <w:pStyle w:val="Titretableau"/>
            </w:pPr>
            <w:r w:rsidRPr="008C3C54">
              <w:t>10-49</w:t>
            </w:r>
          </w:p>
        </w:tc>
        <w:tc>
          <w:tcPr>
            <w:tcW w:w="2995" w:type="dxa"/>
            <w:tcBorders>
              <w:left w:val="single" w:sz="6" w:space="0" w:color="000000"/>
              <w:right w:val="single" w:sz="6" w:space="0" w:color="000000"/>
            </w:tcBorders>
          </w:tcPr>
          <w:p w:rsidR="00B67CF2" w:rsidRDefault="00B67CF2" w:rsidP="008C3C54">
            <w:pPr>
              <w:pStyle w:val="Textetableau"/>
            </w:pPr>
            <w:r>
              <w:t>176 454</w:t>
            </w:r>
          </w:p>
        </w:tc>
        <w:tc>
          <w:tcPr>
            <w:tcW w:w="2900" w:type="dxa"/>
            <w:tcBorders>
              <w:left w:val="single" w:sz="6" w:space="0" w:color="000000"/>
              <w:right w:val="single" w:sz="12" w:space="0" w:color="000000"/>
            </w:tcBorders>
          </w:tcPr>
          <w:p w:rsidR="00B67CF2" w:rsidRDefault="00B67CF2" w:rsidP="008C3C54">
            <w:pPr>
              <w:pStyle w:val="Textetableau"/>
            </w:pPr>
            <w:r>
              <w:t>5,2</w:t>
            </w:r>
          </w:p>
        </w:tc>
      </w:tr>
      <w:tr w:rsidR="00B67CF2">
        <w:trPr>
          <w:cantSplit/>
        </w:trPr>
        <w:tc>
          <w:tcPr>
            <w:tcW w:w="2749" w:type="dxa"/>
            <w:tcBorders>
              <w:left w:val="single" w:sz="12" w:space="0" w:color="000000"/>
              <w:right w:val="single" w:sz="6" w:space="0" w:color="000000"/>
            </w:tcBorders>
          </w:tcPr>
          <w:p w:rsidR="00B67CF2" w:rsidRPr="008C3C54" w:rsidRDefault="00B67CF2" w:rsidP="00D25A31">
            <w:pPr>
              <w:pStyle w:val="Titretableau"/>
            </w:pPr>
            <w:r w:rsidRPr="008C3C54">
              <w:t>50-199</w:t>
            </w:r>
          </w:p>
        </w:tc>
        <w:tc>
          <w:tcPr>
            <w:tcW w:w="2995" w:type="dxa"/>
            <w:tcBorders>
              <w:left w:val="single" w:sz="6" w:space="0" w:color="000000"/>
              <w:right w:val="single" w:sz="6" w:space="0" w:color="000000"/>
            </w:tcBorders>
          </w:tcPr>
          <w:p w:rsidR="00B67CF2" w:rsidRDefault="00B67CF2" w:rsidP="008C3C54">
            <w:pPr>
              <w:pStyle w:val="Textetableau"/>
            </w:pPr>
            <w:r>
              <w:t>31 198</w:t>
            </w:r>
          </w:p>
        </w:tc>
        <w:tc>
          <w:tcPr>
            <w:tcW w:w="2900" w:type="dxa"/>
            <w:tcBorders>
              <w:left w:val="single" w:sz="6" w:space="0" w:color="000000"/>
              <w:right w:val="single" w:sz="12" w:space="0" w:color="000000"/>
            </w:tcBorders>
          </w:tcPr>
          <w:p w:rsidR="00B67CF2" w:rsidRDefault="00B67CF2" w:rsidP="008C3C54">
            <w:pPr>
              <w:pStyle w:val="Textetableau"/>
            </w:pPr>
            <w:r>
              <w:t>0,9</w:t>
            </w:r>
          </w:p>
        </w:tc>
      </w:tr>
      <w:tr w:rsidR="00B67CF2">
        <w:trPr>
          <w:cantSplit/>
        </w:trPr>
        <w:tc>
          <w:tcPr>
            <w:tcW w:w="2749" w:type="dxa"/>
            <w:tcBorders>
              <w:left w:val="single" w:sz="12" w:space="0" w:color="000000"/>
              <w:right w:val="single" w:sz="6" w:space="0" w:color="000000"/>
            </w:tcBorders>
          </w:tcPr>
          <w:p w:rsidR="00B67CF2" w:rsidRPr="008C3C54" w:rsidRDefault="00B67CF2" w:rsidP="00D25A31">
            <w:pPr>
              <w:pStyle w:val="Titretableau"/>
            </w:pPr>
            <w:r w:rsidRPr="008C3C54">
              <w:t>200-499</w:t>
            </w:r>
          </w:p>
        </w:tc>
        <w:tc>
          <w:tcPr>
            <w:tcW w:w="2995" w:type="dxa"/>
            <w:tcBorders>
              <w:left w:val="single" w:sz="6" w:space="0" w:color="000000"/>
              <w:right w:val="single" w:sz="6" w:space="0" w:color="000000"/>
            </w:tcBorders>
          </w:tcPr>
          <w:p w:rsidR="00B67CF2" w:rsidRDefault="00B67CF2" w:rsidP="008C3C54">
            <w:pPr>
              <w:pStyle w:val="Textetableau"/>
            </w:pPr>
            <w:r>
              <w:t>5 887</w:t>
            </w:r>
          </w:p>
        </w:tc>
        <w:tc>
          <w:tcPr>
            <w:tcW w:w="2900" w:type="dxa"/>
            <w:tcBorders>
              <w:left w:val="single" w:sz="6" w:space="0" w:color="000000"/>
              <w:right w:val="single" w:sz="12" w:space="0" w:color="000000"/>
            </w:tcBorders>
          </w:tcPr>
          <w:p w:rsidR="00B67CF2" w:rsidRDefault="00B67CF2" w:rsidP="008C3C54">
            <w:pPr>
              <w:pStyle w:val="Textetableau"/>
            </w:pPr>
            <w:r>
              <w:t>0,2</w:t>
            </w:r>
          </w:p>
        </w:tc>
      </w:tr>
      <w:tr w:rsidR="00B67CF2">
        <w:trPr>
          <w:cantSplit/>
        </w:trPr>
        <w:tc>
          <w:tcPr>
            <w:tcW w:w="2749" w:type="dxa"/>
            <w:tcBorders>
              <w:left w:val="single" w:sz="12" w:space="0" w:color="000000"/>
              <w:right w:val="single" w:sz="6" w:space="0" w:color="000000"/>
            </w:tcBorders>
          </w:tcPr>
          <w:p w:rsidR="00B67CF2" w:rsidRPr="008C3C54" w:rsidRDefault="00B67CF2" w:rsidP="00D25A31">
            <w:pPr>
              <w:pStyle w:val="Titretableau"/>
            </w:pPr>
            <w:r w:rsidRPr="008C3C54">
              <w:t>500-999</w:t>
            </w:r>
          </w:p>
        </w:tc>
        <w:tc>
          <w:tcPr>
            <w:tcW w:w="2995" w:type="dxa"/>
            <w:tcBorders>
              <w:left w:val="single" w:sz="6" w:space="0" w:color="000000"/>
              <w:right w:val="single" w:sz="6" w:space="0" w:color="000000"/>
            </w:tcBorders>
          </w:tcPr>
          <w:p w:rsidR="00B67CF2" w:rsidRDefault="00B67CF2" w:rsidP="008C3C54">
            <w:pPr>
              <w:pStyle w:val="Textetableau"/>
            </w:pPr>
            <w:r>
              <w:t>1 912</w:t>
            </w:r>
          </w:p>
        </w:tc>
        <w:tc>
          <w:tcPr>
            <w:tcW w:w="2900" w:type="dxa"/>
            <w:tcBorders>
              <w:left w:val="single" w:sz="6" w:space="0" w:color="000000"/>
              <w:right w:val="single" w:sz="12" w:space="0" w:color="000000"/>
            </w:tcBorders>
          </w:tcPr>
          <w:p w:rsidR="00B67CF2" w:rsidRDefault="00B67CF2" w:rsidP="008C3C54">
            <w:pPr>
              <w:pStyle w:val="Textetableau"/>
            </w:pPr>
            <w:r>
              <w:t>0,05</w:t>
            </w:r>
          </w:p>
        </w:tc>
      </w:tr>
      <w:tr w:rsidR="00B67CF2">
        <w:trPr>
          <w:cantSplit/>
        </w:trPr>
        <w:tc>
          <w:tcPr>
            <w:tcW w:w="2749" w:type="dxa"/>
            <w:tcBorders>
              <w:left w:val="single" w:sz="12" w:space="0" w:color="000000"/>
              <w:right w:val="single" w:sz="6" w:space="0" w:color="000000"/>
            </w:tcBorders>
          </w:tcPr>
          <w:p w:rsidR="00B67CF2" w:rsidRPr="008C3C54" w:rsidRDefault="00B67CF2" w:rsidP="00D25A31">
            <w:pPr>
              <w:pStyle w:val="Titretableau"/>
            </w:pPr>
            <w:r w:rsidRPr="008C3C54">
              <w:t>1000 et plus</w:t>
            </w:r>
          </w:p>
        </w:tc>
        <w:tc>
          <w:tcPr>
            <w:tcW w:w="2995" w:type="dxa"/>
            <w:tcBorders>
              <w:left w:val="single" w:sz="6" w:space="0" w:color="000000"/>
              <w:right w:val="single" w:sz="6" w:space="0" w:color="000000"/>
            </w:tcBorders>
          </w:tcPr>
          <w:p w:rsidR="00B67CF2" w:rsidRDefault="00B67CF2" w:rsidP="008C3C54">
            <w:pPr>
              <w:pStyle w:val="Textetableau"/>
            </w:pPr>
            <w:r>
              <w:t>1 353</w:t>
            </w:r>
          </w:p>
        </w:tc>
        <w:tc>
          <w:tcPr>
            <w:tcW w:w="2900" w:type="dxa"/>
            <w:tcBorders>
              <w:left w:val="single" w:sz="6" w:space="0" w:color="000000"/>
              <w:right w:val="single" w:sz="12" w:space="0" w:color="000000"/>
            </w:tcBorders>
          </w:tcPr>
          <w:p w:rsidR="00B67CF2" w:rsidRDefault="00B67CF2" w:rsidP="008C3C54">
            <w:pPr>
              <w:pStyle w:val="Textetableau"/>
            </w:pPr>
            <w:r>
              <w:t>0,05</w:t>
            </w:r>
          </w:p>
        </w:tc>
      </w:tr>
      <w:tr w:rsidR="00B67CF2">
        <w:trPr>
          <w:cantSplit/>
        </w:trPr>
        <w:tc>
          <w:tcPr>
            <w:tcW w:w="2749" w:type="dxa"/>
            <w:tcBorders>
              <w:left w:val="single" w:sz="12" w:space="0" w:color="000000"/>
              <w:bottom w:val="single" w:sz="12" w:space="0" w:color="000000"/>
              <w:right w:val="single" w:sz="6" w:space="0" w:color="000000"/>
            </w:tcBorders>
          </w:tcPr>
          <w:p w:rsidR="00B67CF2" w:rsidRPr="008C3C54" w:rsidRDefault="00B67CF2" w:rsidP="00D25A31">
            <w:pPr>
              <w:pStyle w:val="Titretableau"/>
            </w:pPr>
            <w:r w:rsidRPr="008C3C54">
              <w:t>Total</w:t>
            </w:r>
          </w:p>
        </w:tc>
        <w:tc>
          <w:tcPr>
            <w:tcW w:w="2995" w:type="dxa"/>
            <w:tcBorders>
              <w:left w:val="single" w:sz="6" w:space="0" w:color="000000"/>
              <w:bottom w:val="single" w:sz="12" w:space="0" w:color="000000"/>
              <w:right w:val="single" w:sz="6" w:space="0" w:color="000000"/>
            </w:tcBorders>
          </w:tcPr>
          <w:p w:rsidR="00B67CF2" w:rsidRDefault="00B67CF2" w:rsidP="008C3C54">
            <w:pPr>
              <w:pStyle w:val="Textetableau"/>
            </w:pPr>
            <w:r>
              <w:t>3 384 843</w:t>
            </w:r>
          </w:p>
        </w:tc>
        <w:tc>
          <w:tcPr>
            <w:tcW w:w="2900" w:type="dxa"/>
            <w:tcBorders>
              <w:left w:val="single" w:sz="6" w:space="0" w:color="000000"/>
              <w:bottom w:val="single" w:sz="12" w:space="0" w:color="000000"/>
              <w:right w:val="single" w:sz="12" w:space="0" w:color="000000"/>
            </w:tcBorders>
          </w:tcPr>
          <w:p w:rsidR="00B67CF2" w:rsidRDefault="00B67CF2" w:rsidP="008C3C54">
            <w:pPr>
              <w:pStyle w:val="Textetableau"/>
            </w:pPr>
            <w:r>
              <w:t>100</w:t>
            </w:r>
          </w:p>
        </w:tc>
      </w:tr>
    </w:tbl>
    <w:p w:rsidR="00B67CF2" w:rsidRPr="008C3C54" w:rsidRDefault="00B67CF2" w:rsidP="00A07AFC">
      <w:pPr>
        <w:pStyle w:val="Titre3"/>
      </w:pPr>
      <w:bookmarkStart w:id="34" w:name="_Toc336716607"/>
      <w:bookmarkStart w:id="35" w:name="_Toc398658423"/>
      <w:r w:rsidRPr="008C3C54">
        <w:t>La place de l’artisanat en France</w:t>
      </w:r>
      <w:bookmarkEnd w:id="34"/>
      <w:bookmarkEnd w:id="35"/>
    </w:p>
    <w:p w:rsidR="00B67CF2" w:rsidRDefault="00B67CF2" w:rsidP="00A07AFC">
      <w:pPr>
        <w:pStyle w:val="Corpsdetexte"/>
      </w:pPr>
      <w:r>
        <w:t>L’artisanat occupe une place particulière dans l’économie : il est défini, au terme du décret no 83.487 du 10 juin 1983, à la fois par un critère de taille (moins de dix salariés) et par l’appartenance à des secteurs d’activités très précis, (par exemple, boulangers, artisans de meubles, imprimeurs, mécaniciens et réparateurs, etc.), le statut d’artisan découlant de l’inscription au registre des métiers.</w:t>
      </w:r>
    </w:p>
    <w:p w:rsidR="00F42EAB" w:rsidRDefault="00B67CF2" w:rsidP="00A07AFC">
      <w:pPr>
        <w:pStyle w:val="Corpsdetexte"/>
      </w:pPr>
      <w:r>
        <w:t>Quatre sur cinq des entreprises industrielles relèvent de l’artisanat et regroupent 7,5</w:t>
      </w:r>
      <w:r w:rsidR="005E0833">
        <w:t xml:space="preserve"> %</w:t>
      </w:r>
      <w:r>
        <w:t xml:space="preserve"> des salariés. Les entreprises de petites tailles sont pour une très large part artisanales, 40</w:t>
      </w:r>
      <w:r w:rsidR="005E0833">
        <w:t xml:space="preserve"> %</w:t>
      </w:r>
      <w:r>
        <w:t xml:space="preserve"> de celles-ci sont implantées en milieu rural (soit environ 350 000 entreprises artisanales).</w:t>
      </w:r>
    </w:p>
    <w:p w:rsidR="00F42EAB" w:rsidRDefault="00B67CF2" w:rsidP="00A07AFC">
      <w:pPr>
        <w:pStyle w:val="Corpsdetexte"/>
      </w:pPr>
      <w:r>
        <w:t>En milieu rural presque la moitié des entreprises artisanales relèvent du bâtiment (47</w:t>
      </w:r>
      <w:r w:rsidR="005E0833">
        <w:t xml:space="preserve"> %</w:t>
      </w:r>
      <w:r>
        <w:t>) et le tiers de l’artisanat dit « de services » (l’alimentation représentant 15</w:t>
      </w:r>
      <w:r w:rsidR="005E0833">
        <w:t xml:space="preserve"> %</w:t>
      </w:r>
      <w:r>
        <w:t xml:space="preserve"> du total des activités artisanales et la réparation 9</w:t>
      </w:r>
      <w:r w:rsidR="005E0833">
        <w:t xml:space="preserve"> %</w:t>
      </w:r>
      <w:r>
        <w:t>). L’artisanat de production, qui se situe aux alentours de 20</w:t>
      </w:r>
      <w:r w:rsidR="005E0833">
        <w:t xml:space="preserve"> %</w:t>
      </w:r>
      <w:r>
        <w:t>, voit sa part progresser lentement, porté par le travail des métaux, qui constitue son premier secteur d’activité (8,5</w:t>
      </w:r>
      <w:r w:rsidR="005E0833">
        <w:t xml:space="preserve"> %</w:t>
      </w:r>
      <w:r>
        <w:t xml:space="preserve"> du total des activités artisanales) devant le bois-ameublement (4,5</w:t>
      </w:r>
      <w:r w:rsidR="005E0833">
        <w:t xml:space="preserve"> %</w:t>
      </w:r>
      <w:r>
        <w:t xml:space="preserve">). Certaines activités sont d’ailleurs presque exclusivement rurales : c’est le cas de la fabrication de matériel </w:t>
      </w:r>
      <w:r>
        <w:lastRenderedPageBreak/>
        <w:t>agricole ou de la scierie alors que les activités tertiaires sont urbaines dans 80</w:t>
      </w:r>
      <w:r w:rsidR="005E0833">
        <w:t xml:space="preserve"> %</w:t>
      </w:r>
      <w:r>
        <w:t xml:space="preserve"> des cas.</w:t>
      </w:r>
    </w:p>
    <w:p w:rsidR="00B67CF2" w:rsidRDefault="00B67CF2" w:rsidP="00A07AFC">
      <w:pPr>
        <w:pStyle w:val="Corpsdetexte"/>
      </w:pPr>
      <w:r>
        <w:t>Le graphique II présente la densité des petites entreprises par activité et selon la taille démographique de la commune d’implantation.</w:t>
      </w:r>
    </w:p>
    <w:p w:rsidR="00B67CF2" w:rsidRDefault="00B67CF2" w:rsidP="00A07AFC">
      <w:pPr>
        <w:pStyle w:val="Corpsdetexte"/>
      </w:pPr>
      <w:r>
        <w:t>L</w:t>
      </w:r>
      <w:r w:rsidRPr="008714C2">
        <w:rPr>
          <w:rStyle w:val="Accentuation"/>
        </w:rPr>
        <w:t>’abondante</w:t>
      </w:r>
      <w:r>
        <w:t xml:space="preserve"> de petites entreprises au niveau les plus bas de la hiérarchie urbaine a des conséquences locales importances, car une dizaine d’emplois peut garantir la vitalité d’une petite commune. Et comme ces entreprises sont « </w:t>
      </w:r>
      <w:r w:rsidRPr="008714C2">
        <w:rPr>
          <w:rStyle w:val="Accentuation"/>
        </w:rPr>
        <w:t>moins sujettes aux grands bouleversements économiques, elles résistent mieux aux aléas de la conjoncture et s’adaptent progressivement aux évolutions économiques et technologiques. Par leur capacité à fournir aux citoyens les services et biens dont ils ont besoin, les artisans et commerçants assurent un rôle fondamental dans l’équilibre économique et social de nombreux territoires de l’espace du pays</w:t>
      </w:r>
      <w:r>
        <w:t> »</w:t>
      </w:r>
      <w:r>
        <w:rPr>
          <w:rStyle w:val="Appelnotedebasdep"/>
          <w:sz w:val="22"/>
        </w:rPr>
        <w:footnoteReference w:id="15"/>
      </w:r>
      <w:r>
        <w:t>.</w:t>
      </w:r>
    </w:p>
    <w:p w:rsidR="00B67CF2" w:rsidRPr="00137D7B" w:rsidRDefault="00B67CF2" w:rsidP="00A07AFC">
      <w:pPr>
        <w:pStyle w:val="Titre3"/>
      </w:pPr>
      <w:bookmarkStart w:id="36" w:name="_Toc333377551"/>
      <w:bookmarkStart w:id="37" w:name="_Toc336716609"/>
      <w:bookmarkStart w:id="38" w:name="_Toc398658424"/>
      <w:r w:rsidRPr="00137D7B">
        <w:t>Genèse des politiques d’appui aux petites entreprises en milieu rural</w:t>
      </w:r>
      <w:bookmarkEnd w:id="36"/>
      <w:bookmarkEnd w:id="37"/>
      <w:bookmarkEnd w:id="38"/>
    </w:p>
    <w:p w:rsidR="00B67CF2" w:rsidRDefault="00B67CF2" w:rsidP="00A07AFC">
      <w:pPr>
        <w:pStyle w:val="Corpsdetexte"/>
      </w:pPr>
      <w:r>
        <w:t xml:space="preserve">L’aménagement rural, conçu comme une politique structurée de développement, s’est affirmé en France dans les années soixante. </w:t>
      </w:r>
      <w:r w:rsidR="000676CD">
        <w:t>À</w:t>
      </w:r>
      <w:r>
        <w:t xml:space="preserve"> l’origine, la dimension essentiellement agricole des actions en faveur de l’espace rural est liée aux caractéristiques économiques de celui-ci. Elles visent alors essentiellement l’aménagement des structures foncières et agricoles et impulsent pour ce faire la création de Sociétés d’Aménagement Foncier et d’Établissement Rural (SAFER).</w:t>
      </w:r>
    </w:p>
    <w:p w:rsidR="00B67CF2" w:rsidRDefault="00B67CF2" w:rsidP="00A07AFC">
      <w:pPr>
        <w:pStyle w:val="Corpsdetexte"/>
      </w:pPr>
      <w:r>
        <w:t>Puis l’État engage des politiques d’aménagement s’ouvrant à d’autres secteurs de la vie socio-économique locale par « le découpage du territoire rural autour de villages centres, qui devrait bénéficier d’une concentration relative des équipements collectifs, et la définition d’actions susceptibles d’aboutir à une parité d’équipement, à une égalisation des chances entre la ville et la campagne</w:t>
      </w:r>
      <w:r>
        <w:rPr>
          <w:rStyle w:val="Appelnotedebasdep"/>
          <w:sz w:val="22"/>
        </w:rPr>
        <w:footnoteReference w:id="16"/>
      </w:r>
      <w:r>
        <w:t> ».</w:t>
      </w:r>
    </w:p>
    <w:p w:rsidR="00B67CF2" w:rsidRDefault="000676CD" w:rsidP="00A07AFC">
      <w:pPr>
        <w:pStyle w:val="Corpsdetexte"/>
      </w:pPr>
      <w:r>
        <w:t>À</w:t>
      </w:r>
      <w:r w:rsidR="00B67CF2">
        <w:t xml:space="preserve"> cette époque, les politiques en </w:t>
      </w:r>
      <w:r w:rsidR="00C826F6">
        <w:t xml:space="preserve">œuvre </w:t>
      </w:r>
      <w:r w:rsidR="00B67CF2">
        <w:t>tendent essentiellement au rattrapage d’un retard de développement du monde rural, appréhendé essentiellement en opposition à la ville. Ce sont les Plans d’Aménagement Rural (P.A.R.) qui vont intégrer à la démarche de développement « </w:t>
      </w:r>
      <w:r w:rsidR="00B67CF2" w:rsidRPr="008714C2">
        <w:rPr>
          <w:rStyle w:val="Accentuation"/>
        </w:rPr>
        <w:t xml:space="preserve">les perspectives souhaitables du </w:t>
      </w:r>
      <w:r w:rsidR="00B67CF2" w:rsidRPr="008714C2">
        <w:rPr>
          <w:rStyle w:val="Accentuation"/>
        </w:rPr>
        <w:lastRenderedPageBreak/>
        <w:t>développement et de l’équipement des territoires à vocation rurale</w:t>
      </w:r>
      <w:r w:rsidR="00B67CF2">
        <w:t> », en associant pour ce faire les collectivités publiques et les acteurs privés.</w:t>
      </w:r>
    </w:p>
    <w:p w:rsidR="00B67CF2" w:rsidRDefault="00B67CF2" w:rsidP="00A07AFC">
      <w:pPr>
        <w:pStyle w:val="Corpsdetexte"/>
      </w:pPr>
      <w:r>
        <w:t xml:space="preserve">Au début des années soixante-dix, le recul des activités agricoles dans l’espace rural renforce l’affirmation d’une politique d’aménagement rural </w:t>
      </w:r>
      <w:proofErr w:type="spellStart"/>
      <w:r>
        <w:t>pluri-sectorielle</w:t>
      </w:r>
      <w:proofErr w:type="spellEnd"/>
      <w:r>
        <w:t>. Sous l’impulsion de la DATAR, les politiques d’aménagement rural sont alors conçues à partir de l’articulation de plusieurs objectifs : « </w:t>
      </w:r>
      <w:r w:rsidRPr="008714C2">
        <w:rPr>
          <w:rStyle w:val="Accentuation"/>
        </w:rPr>
        <w:t>la modernisation de l’agriculture et la diversification des activités économiques, le développement des services et des équipements locaux, l’amélioration des communications nécessaires à la déconcentration de l’habitat et des entreprises</w:t>
      </w:r>
      <w:r>
        <w:t> »</w:t>
      </w:r>
      <w:r>
        <w:rPr>
          <w:rStyle w:val="Appelnotedebasdep"/>
          <w:sz w:val="22"/>
        </w:rPr>
        <w:footnoteReference w:id="17"/>
      </w:r>
      <w:r>
        <w:t>.</w:t>
      </w:r>
    </w:p>
    <w:p w:rsidR="00B67CF2" w:rsidRDefault="00B67CF2" w:rsidP="00A07AFC">
      <w:pPr>
        <w:pStyle w:val="Corpsdetexte"/>
      </w:pPr>
      <w:r>
        <w:t xml:space="preserve">Ainsi apparaît l’idée qu’il </w:t>
      </w:r>
      <w:r w:rsidR="000676CD">
        <w:t>serait</w:t>
      </w:r>
      <w:r>
        <w:t xml:space="preserve"> souhaitable de définir des stratégies spécifiques aux zones rurales fragiles ainsi que la pertinence d’un développement local conçu en fonction des caractéristiques des secteurs d’activités non agricoles.</w:t>
      </w:r>
    </w:p>
    <w:p w:rsidR="00F42EAB" w:rsidRDefault="00B67CF2" w:rsidP="00A07AFC">
      <w:pPr>
        <w:pStyle w:val="Corpsdetexte"/>
      </w:pPr>
      <w:r>
        <w:t>La politique de contrat de pays engagée en 1975</w:t>
      </w:r>
      <w:r>
        <w:rPr>
          <w:rStyle w:val="Appelnotedebasdep"/>
          <w:sz w:val="22"/>
        </w:rPr>
        <w:footnoteReference w:id="18"/>
      </w:r>
      <w:r>
        <w:t xml:space="preserve"> visera alors « </w:t>
      </w:r>
      <w:r w:rsidRPr="008714C2">
        <w:rPr>
          <w:rStyle w:val="Accentuation"/>
        </w:rPr>
        <w:t>à maintenir et à soutenir le développement économique des petites villes et de leur environnement rural</w:t>
      </w:r>
      <w:r>
        <w:t xml:space="preserve"> » et accorde alors une plus grande attention à la définition des périmètres d’application et au </w:t>
      </w:r>
      <w:r w:rsidRPr="008714C2">
        <w:rPr>
          <w:rStyle w:val="Accentuation"/>
        </w:rPr>
        <w:t>réalisme</w:t>
      </w:r>
      <w:r>
        <w:t xml:space="preserve"> des objectifs poursuivis « </w:t>
      </w:r>
      <w:r w:rsidRPr="008714C2">
        <w:rPr>
          <w:rStyle w:val="Accentuation"/>
        </w:rPr>
        <w:t>par le regroupement de communes dans le cadre d’un programme de réalisation coordonnée</w:t>
      </w:r>
      <w:r>
        <w:t> ». La formule des contrats de pays, permet, pour la première fois, une approche territoriale.</w:t>
      </w:r>
    </w:p>
    <w:p w:rsidR="00B67CF2" w:rsidRDefault="00B67CF2" w:rsidP="00A07AFC">
      <w:pPr>
        <w:pStyle w:val="Corpsdetexte"/>
      </w:pPr>
      <w:r>
        <w:t>Dans les années quatre-vingts, la multiplication des programmes d’interventions entraîne la création du Fond Interministériel de Développement et d’Aménagement Rural (F.I.D.A.R) et « </w:t>
      </w:r>
      <w:r w:rsidRPr="008714C2">
        <w:rPr>
          <w:rStyle w:val="Accentuation"/>
        </w:rPr>
        <w:t>conduit l’État à concentrer ses moyens sur des objectifs précis : les fonds sont regroupés et les priorités géographiques et économiques mieux définies</w:t>
      </w:r>
      <w:r>
        <w:t> ». Ses interventions sont ainsi réservées aux actions économiques « </w:t>
      </w:r>
      <w:r w:rsidRPr="008714C2">
        <w:rPr>
          <w:rStyle w:val="Accentuation"/>
        </w:rPr>
        <w:t>dans les secteurs ruraux où se posent des problèmes d’une particulière gravité</w:t>
      </w:r>
      <w:r>
        <w:t xml:space="preserve"> ». Formulation qui, on peut le constater, est d’une grande généralité et n’aboutit en définitive, dans cette recherche de la satisfaction du plus grand nombre, qu’au désarroi des élus locaux confronté à une responsabilité de gestion (si ce n’est de création ex-nihilo) des dynamiques d’évolutions, de transformations, voire de </w:t>
      </w:r>
      <w:r w:rsidRPr="008714C2">
        <w:rPr>
          <w:rStyle w:val="Accentuation"/>
        </w:rPr>
        <w:t>transmutation</w:t>
      </w:r>
      <w:r>
        <w:t xml:space="preserve"> de leurs petites communes rurales.</w:t>
      </w:r>
    </w:p>
    <w:p w:rsidR="00B67CF2" w:rsidRPr="00137D7B" w:rsidRDefault="00B67CF2" w:rsidP="00A07AFC">
      <w:pPr>
        <w:pStyle w:val="Titre3"/>
      </w:pPr>
      <w:bookmarkStart w:id="39" w:name="_Toc336716610"/>
      <w:bookmarkStart w:id="40" w:name="_Toc398658425"/>
      <w:r w:rsidRPr="00137D7B">
        <w:lastRenderedPageBreak/>
        <w:t>L’évolution des priorités</w:t>
      </w:r>
      <w:bookmarkEnd w:id="39"/>
      <w:bookmarkEnd w:id="40"/>
    </w:p>
    <w:p w:rsidR="00F42EAB" w:rsidRDefault="00B67CF2" w:rsidP="00A07AFC">
      <w:pPr>
        <w:pStyle w:val="Corpsdetexte"/>
      </w:pPr>
      <w:r>
        <w:t xml:space="preserve">En fait les différents Plans ont fixé pour l’espace rural au cours de ses générations successives, un certain nombre d’objectifs généraux mais sans faire émerger explicitement une problématique liée plus particulièrement au devenir des acteurs </w:t>
      </w:r>
      <w:r w:rsidRPr="008714C2">
        <w:rPr>
          <w:rStyle w:val="Accentuation"/>
        </w:rPr>
        <w:t>industrieux</w:t>
      </w:r>
      <w:r>
        <w:t xml:space="preserve"> du monde rural. Le VI</w:t>
      </w:r>
      <w:r>
        <w:rPr>
          <w:vertAlign w:val="superscript"/>
        </w:rPr>
        <w:t>ème</w:t>
      </w:r>
      <w:r>
        <w:t xml:space="preserve"> avait pour but « </w:t>
      </w:r>
      <w:r w:rsidRPr="008714C2">
        <w:rPr>
          <w:rStyle w:val="Accentuation"/>
        </w:rPr>
        <w:t>l’amélioration sensible des conditions d’existence pour les populations qui continuent de vivre et de travailler en milieu rural, tout en facilitant la solution des problèmes qu’ont à résoudre ceux qui doivent quitter leur implantation d’origine.</w:t>
      </w:r>
      <w:r>
        <w:t xml:space="preserve"> Le VII</w:t>
      </w:r>
      <w:r>
        <w:rPr>
          <w:vertAlign w:val="superscript"/>
        </w:rPr>
        <w:t>ème</w:t>
      </w:r>
      <w:r>
        <w:t xml:space="preserve"> Plan voulait</w:t>
      </w:r>
      <w:r w:rsidRPr="008714C2">
        <w:rPr>
          <w:rStyle w:val="Accentuation"/>
        </w:rPr>
        <w:t xml:space="preserve"> «enrayer l’effondrement démographique de certaines zones rurales</w:t>
      </w:r>
      <w:r>
        <w:t>». Le VIII</w:t>
      </w:r>
      <w:r>
        <w:rPr>
          <w:vertAlign w:val="superscript"/>
        </w:rPr>
        <w:t>ème</w:t>
      </w:r>
      <w:r>
        <w:t xml:space="preserve"> s’engageait à réaliser «</w:t>
      </w:r>
      <w:r w:rsidRPr="008714C2">
        <w:rPr>
          <w:rStyle w:val="Accentuation"/>
        </w:rPr>
        <w:t>un aménagement des zones rurales défavorisées</w:t>
      </w:r>
      <w:r>
        <w:t>».</w:t>
      </w:r>
    </w:p>
    <w:p w:rsidR="00F42EAB" w:rsidRDefault="00984F94" w:rsidP="00A07AFC">
      <w:pPr>
        <w:pStyle w:val="Corpsdetexte"/>
      </w:pPr>
      <w:r>
        <w:t>Il faut attendre le I</w:t>
      </w:r>
      <w:r w:rsidR="00B67CF2">
        <w:t>X</w:t>
      </w:r>
      <w:r w:rsidR="00B67CF2">
        <w:rPr>
          <w:vertAlign w:val="superscript"/>
        </w:rPr>
        <w:t>ème</w:t>
      </w:r>
      <w:r w:rsidR="00B67CF2">
        <w:t xml:space="preserve"> plan (1984-1988) qui avait pour objectif de «</w:t>
      </w:r>
      <w:r w:rsidR="00B67CF2" w:rsidRPr="008714C2">
        <w:rPr>
          <w:rStyle w:val="Accentuation"/>
        </w:rPr>
        <w:t>rééquilibrer les activités en faveur des zones rurales fragiles sous-équipées et sous-industrialisées</w:t>
      </w:r>
      <w:r w:rsidR="00B67CF2">
        <w:t> » pour voir apparaître des actions de rénovation visant spécifiquement le tissu économique rural</w:t>
      </w:r>
      <w:r w:rsidR="00B67CF2">
        <w:rPr>
          <w:rStyle w:val="Appelnotedebasdep"/>
          <w:sz w:val="22"/>
        </w:rPr>
        <w:footnoteReference w:id="19"/>
      </w:r>
      <w:r w:rsidR="00B67CF2">
        <w:t xml:space="preserve">. Elles furent mises en </w:t>
      </w:r>
      <w:r w:rsidR="00C826F6">
        <w:t xml:space="preserve">œuvre </w:t>
      </w:r>
      <w:r w:rsidR="00B67CF2">
        <w:t xml:space="preserve">à titre expérimental au cours de la période. Toutefois les secteurs visés étaient ceux de l’agriculture et de l’économie rurale et selon une approche sectorielle plutôt horizontale ou seuls se distinguaient, par des mesures spécifiques, les programmes de zone autour des notions des </w:t>
      </w:r>
      <w:r w:rsidR="00B67CF2" w:rsidRPr="008714C2">
        <w:rPr>
          <w:rStyle w:val="Accentuation"/>
        </w:rPr>
        <w:t>zones de montagne</w:t>
      </w:r>
      <w:r w:rsidR="00B67CF2">
        <w:t xml:space="preserve"> et </w:t>
      </w:r>
      <w:r w:rsidR="00B67CF2" w:rsidRPr="008714C2">
        <w:rPr>
          <w:rStyle w:val="Accentuation"/>
        </w:rPr>
        <w:t>zones défavorisées</w:t>
      </w:r>
      <w:r w:rsidR="00B67CF2">
        <w:t>.</w:t>
      </w:r>
    </w:p>
    <w:p w:rsidR="00F42EAB" w:rsidRDefault="00B67CF2" w:rsidP="00A07AFC">
      <w:pPr>
        <w:pStyle w:val="Corpsdetexte"/>
      </w:pPr>
      <w:r>
        <w:t>Le X</w:t>
      </w:r>
      <w:r>
        <w:rPr>
          <w:vertAlign w:val="superscript"/>
        </w:rPr>
        <w:t>ème</w:t>
      </w:r>
      <w:r>
        <w:t>, enfin, se prononce en faveur d’une « politique d’aménagement rural beaucoup plus active (...) reposant sur des programmes cohérents adaptés à la diversité des zones rurales en cause »</w:t>
      </w:r>
      <w:r>
        <w:rPr>
          <w:rStyle w:val="Appelnotedebasdep"/>
          <w:sz w:val="22"/>
        </w:rPr>
        <w:footnoteReference w:id="20"/>
      </w:r>
      <w:r>
        <w:t>. Le X</w:t>
      </w:r>
      <w:r>
        <w:rPr>
          <w:vertAlign w:val="superscript"/>
        </w:rPr>
        <w:t>ème</w:t>
      </w:r>
      <w:r>
        <w:t xml:space="preserve"> Plan va introduire un nouveau concept : celui de « volet zones rurales fragiles ». En effet, la réforme des fonds structurels communautaires du 1</w:t>
      </w:r>
      <w:r>
        <w:rPr>
          <w:vertAlign w:val="superscript"/>
        </w:rPr>
        <w:t>er</w:t>
      </w:r>
      <w:r>
        <w:t xml:space="preserve"> janvier 1989 a mis en application des objectifs relatifs au développement régional concernant les zones rurales : les PAC.T. Z.R.F (Programmes d’Aménagement Concertés pour les zones rurales fragiles). </w:t>
      </w:r>
      <w:r>
        <w:lastRenderedPageBreak/>
        <w:t>Ces « PACT. Z.R.F. » préfiguraient en fait les PDZR : Programmes de Développement des Zones Rurales fragiles</w:t>
      </w:r>
      <w:r>
        <w:rPr>
          <w:rStyle w:val="Appelnotedebasdep"/>
          <w:sz w:val="22"/>
        </w:rPr>
        <w:footnoteReference w:id="21"/>
      </w:r>
      <w:r>
        <w:t xml:space="preserve"> dans le cadre de l’objectif 5b</w:t>
      </w:r>
      <w:r>
        <w:rPr>
          <w:rStyle w:val="Appelnotedebasdep"/>
          <w:sz w:val="22"/>
        </w:rPr>
        <w:footnoteReference w:id="22"/>
      </w:r>
      <w:r>
        <w:t>.</w:t>
      </w:r>
    </w:p>
    <w:p w:rsidR="00B67CF2" w:rsidRDefault="00B67CF2" w:rsidP="00A07AFC">
      <w:pPr>
        <w:pStyle w:val="Corpsdetexte"/>
      </w:pPr>
      <w:r>
        <w:t>Ces interventions de la CEE qui ont manifestement poussé à l’émergence de la notion de programme intégré visent à adapter les moyens généraux d’intervention (financement, expertise, formation...) aux besoins spécifiquement locaux en regroupant « </w:t>
      </w:r>
      <w:r w:rsidRPr="008714C2">
        <w:rPr>
          <w:rStyle w:val="Accentuation"/>
        </w:rPr>
        <w:t xml:space="preserve">un ensemble d’actions économiques complémentaires, concernant un territoire d’une dimension pertinente. Ils se doivent de poursuivre des objectifs à long terme et de mettre en </w:t>
      </w:r>
      <w:r w:rsidR="00C826F6">
        <w:rPr>
          <w:rStyle w:val="Accentuation"/>
        </w:rPr>
        <w:t xml:space="preserve">œuvre </w:t>
      </w:r>
      <w:r w:rsidRPr="008714C2">
        <w:rPr>
          <w:rStyle w:val="Accentuation"/>
        </w:rPr>
        <w:t>une stratégie clairement établie</w:t>
      </w:r>
      <w:r>
        <w:t> »</w:t>
      </w:r>
      <w:r>
        <w:rPr>
          <w:rStyle w:val="Appelnotedebasdep"/>
          <w:sz w:val="22"/>
        </w:rPr>
        <w:footnoteReference w:id="23"/>
      </w:r>
      <w:r>
        <w:t>.</w:t>
      </w:r>
    </w:p>
    <w:p w:rsidR="00B67CF2" w:rsidRDefault="00B67CF2" w:rsidP="00A07AFC">
      <w:pPr>
        <w:pStyle w:val="Corpsdetexte"/>
      </w:pPr>
      <w:r>
        <w:t>Les actions de rénovation du tissu économique rural (c’est à dire non plus seulement commercial mais intéressant tous les secteurs d’activités : agriculture, artisanat, commerce, industrie, tourisme...) se sont donc développées avec le X</w:t>
      </w:r>
      <w:r>
        <w:rPr>
          <w:vertAlign w:val="superscript"/>
        </w:rPr>
        <w:t>ème</w:t>
      </w:r>
      <w:r>
        <w:t xml:space="preserve"> plan et ont été retenues comme thèmes prioritaires. « </w:t>
      </w:r>
      <w:r w:rsidRPr="008714C2">
        <w:rPr>
          <w:rStyle w:val="Accentuation"/>
        </w:rPr>
        <w:t>Ces actions visent à aider le commerce et l’artisanat en milieu rural à s’adapter et se moderniser en accroissant leur attractivité auprès des consommateurs et en valorisant leur fonction d’animation de la vie locale</w:t>
      </w:r>
      <w:r>
        <w:t> »</w:t>
      </w:r>
      <w:r>
        <w:rPr>
          <w:rStyle w:val="Appelnotedebasdep"/>
          <w:sz w:val="22"/>
        </w:rPr>
        <w:footnoteReference w:id="24"/>
      </w:r>
      <w:r>
        <w:t>.</w:t>
      </w:r>
    </w:p>
    <w:p w:rsidR="00B67CF2" w:rsidRDefault="00B67CF2" w:rsidP="00A07AFC">
      <w:pPr>
        <w:pStyle w:val="Corpsdetexte"/>
      </w:pPr>
      <w:r>
        <w:t>Aujourd’hui le Programme Intégré Européen en faveur des PME et de l’Artisanat</w:t>
      </w:r>
      <w:r>
        <w:rPr>
          <w:rStyle w:val="Appelnotedebasdep"/>
          <w:sz w:val="22"/>
        </w:rPr>
        <w:footnoteReference w:id="25"/>
      </w:r>
      <w:r>
        <w:t xml:space="preserve">, adopté par la Commission Européenne en mai 1994, entend rassembler dans un cadre plus global et plus cohérent les différentes initiatives déjà en cours. Ce programme cherche à proposer de nouvelles actions à mettre en </w:t>
      </w:r>
      <w:r w:rsidR="00C826F6">
        <w:t xml:space="preserve">œuvre </w:t>
      </w:r>
      <w:r>
        <w:t>en partenariat avec « </w:t>
      </w:r>
      <w:r w:rsidRPr="008714C2">
        <w:rPr>
          <w:rStyle w:val="Accentuation"/>
        </w:rPr>
        <w:t>toutes les parties concernées par le développement des PME au niveau communautaire, national et régional</w:t>
      </w:r>
      <w:r>
        <w:t> ». Ce nouveau cadre de soutien aux petites entreprises propose de créer un ou plusieurs forums permettant aux états membres de présenter et de comparer ce qu’ils considèrent être les «</w:t>
      </w:r>
      <w:r w:rsidRPr="008714C2">
        <w:rPr>
          <w:rStyle w:val="Accentuation"/>
        </w:rPr>
        <w:t xml:space="preserve"> </w:t>
      </w:r>
      <w:r w:rsidRPr="008714C2">
        <w:rPr>
          <w:rStyle w:val="Accentuation"/>
        </w:rPr>
        <w:lastRenderedPageBreak/>
        <w:t>meilleures pratiques</w:t>
      </w:r>
      <w:r>
        <w:t> », en matière d’accompagnement des PME, notamment « </w:t>
      </w:r>
      <w:r w:rsidRPr="008714C2">
        <w:rPr>
          <w:rStyle w:val="Accentuation"/>
        </w:rPr>
        <w:t>dans les phases clés de la création, de la croissance et de la transmission</w:t>
      </w:r>
      <w:r>
        <w:t> ».</w:t>
      </w:r>
    </w:p>
    <w:p w:rsidR="00F42EAB" w:rsidRDefault="00B67CF2" w:rsidP="00A07AFC">
      <w:pPr>
        <w:pStyle w:val="Corpsdetexte"/>
      </w:pPr>
      <w:r>
        <w:t>Cette nouvelle orientation du cadre communautaire d’intervention répond à une double préoccupation :</w:t>
      </w:r>
    </w:p>
    <w:p w:rsidR="00B67CF2" w:rsidRDefault="00B67CF2" w:rsidP="008714C2">
      <w:pPr>
        <w:pStyle w:val="Listepuces"/>
        <w:tabs>
          <w:tab w:val="num" w:pos="1420"/>
        </w:tabs>
      </w:pPr>
      <w:r>
        <w:t>assurer des services de base pour l’ensemble de la population, notamment dans les zones sensibles en déclin démographique et économique</w:t>
      </w:r>
      <w:r>
        <w:rPr>
          <w:rStyle w:val="Appelnotedebasdep"/>
          <w:sz w:val="22"/>
        </w:rPr>
        <w:footnoteReference w:id="26"/>
      </w:r>
      <w:r>
        <w:t>;</w:t>
      </w:r>
    </w:p>
    <w:p w:rsidR="00F42EAB" w:rsidRDefault="00B67CF2" w:rsidP="008714C2">
      <w:pPr>
        <w:pStyle w:val="Listepuces"/>
        <w:tabs>
          <w:tab w:val="num" w:pos="1420"/>
        </w:tabs>
      </w:pPr>
      <w:r>
        <w:t>accompagner la modernisation des entreprises commerciales et artisanales de ces territoires en encourageant en particulier l’adaptation aux mutations en cours.</w:t>
      </w:r>
    </w:p>
    <w:p w:rsidR="00B67CF2" w:rsidRPr="00137D7B" w:rsidRDefault="00B67CF2" w:rsidP="00A07AFC">
      <w:pPr>
        <w:pStyle w:val="Titre3"/>
      </w:pPr>
      <w:bookmarkStart w:id="41" w:name="_Toc333377552"/>
      <w:bookmarkStart w:id="42" w:name="_Toc336716611"/>
      <w:bookmarkStart w:id="43" w:name="_Toc398658426"/>
      <w:r w:rsidRPr="00137D7B">
        <w:t>Les programmes ORAC</w:t>
      </w:r>
      <w:bookmarkEnd w:id="41"/>
      <w:r w:rsidRPr="00137D7B">
        <w:t>, un outil privilégié de développement pour les petites entreprises en milieu rural</w:t>
      </w:r>
      <w:bookmarkEnd w:id="42"/>
      <w:bookmarkEnd w:id="43"/>
    </w:p>
    <w:p w:rsidR="00F42EAB" w:rsidRDefault="00B67CF2" w:rsidP="00A07AFC">
      <w:pPr>
        <w:pStyle w:val="Corpsdetexte"/>
      </w:pPr>
      <w:r>
        <w:t>Les Opérations de Restructuration du Commerce et de l’artisanat (ORAC), nées d’une circulaire du 26 juillet 1988, se développent sur deux cantons, en moyenne, et exigent un partenariat actif entre les SIVOM ruraux, les chambres consulaires et les associations de commerçants et d’artisans. Elles durent deux à quatre ans et comprennent deux types d’actions :</w:t>
      </w:r>
    </w:p>
    <w:p w:rsidR="00F42EAB" w:rsidRDefault="00B67CF2" w:rsidP="008714C2">
      <w:pPr>
        <w:pStyle w:val="Listepuces"/>
        <w:tabs>
          <w:tab w:val="num" w:pos="1420"/>
        </w:tabs>
      </w:pPr>
      <w:r>
        <w:t xml:space="preserve">des aides individuelles basées sur des projets économiques sélectionnés </w:t>
      </w:r>
      <w:r w:rsidRPr="008714C2">
        <w:rPr>
          <w:rStyle w:val="Accentuation"/>
        </w:rPr>
        <w:t>avec sérieux</w:t>
      </w:r>
      <w:r>
        <w:t xml:space="preserve"> et comportant des études et des </w:t>
      </w:r>
      <w:r w:rsidR="00984F94">
        <w:t>diagnostics</w:t>
      </w:r>
      <w:r>
        <w:t xml:space="preserve"> préalables ;</w:t>
      </w:r>
    </w:p>
    <w:p w:rsidR="00F42EAB" w:rsidRDefault="00B67CF2" w:rsidP="008714C2">
      <w:pPr>
        <w:pStyle w:val="Listepuces"/>
        <w:tabs>
          <w:tab w:val="num" w:pos="1420"/>
        </w:tabs>
      </w:pPr>
      <w:r>
        <w:t>des actions collectives de formation, de communication et de promotion.</w:t>
      </w:r>
    </w:p>
    <w:p w:rsidR="00B67CF2" w:rsidRDefault="00B67CF2" w:rsidP="00A07AFC">
      <w:pPr>
        <w:pStyle w:val="Corpsdetexte"/>
      </w:pPr>
      <w:r>
        <w:t>Expérimentées</w:t>
      </w:r>
      <w:r>
        <w:rPr>
          <w:rStyle w:val="Appelnotedebasdep"/>
          <w:sz w:val="22"/>
        </w:rPr>
        <w:footnoteReference w:id="27"/>
      </w:r>
      <w:r>
        <w:t xml:space="preserve"> sous le nom d’Opération Programmée d’Amélioration et de Réhabilitation du Commerce et de l’Artisanat (O.P.A.R.C.A), notamment en Bretagne, lors du Contrat de Plan 1983-1988, les O.R.A.C sont « </w:t>
      </w:r>
      <w:r w:rsidRPr="008714C2">
        <w:rPr>
          <w:rStyle w:val="Accentuation"/>
        </w:rPr>
        <w:t xml:space="preserve">l’outil opérationnel et privilégié de l’artisanat et du commerce dans les politiques </w:t>
      </w:r>
      <w:r w:rsidRPr="008714C2">
        <w:rPr>
          <w:rStyle w:val="Accentuation"/>
        </w:rPr>
        <w:lastRenderedPageBreak/>
        <w:t>d’aménagement du territoire, de développement local et de restructuration économique</w:t>
      </w:r>
      <w:r>
        <w:t> »</w:t>
      </w:r>
      <w:r>
        <w:rPr>
          <w:rStyle w:val="Appelnotedebasdep"/>
          <w:sz w:val="22"/>
        </w:rPr>
        <w:footnoteReference w:id="28"/>
      </w:r>
      <w:r>
        <w:t>.</w:t>
      </w:r>
    </w:p>
    <w:p w:rsidR="00B67CF2" w:rsidRDefault="00B67CF2" w:rsidP="00A07AFC">
      <w:pPr>
        <w:pStyle w:val="Corpsdetexte"/>
      </w:pPr>
      <w:r>
        <w:t>L’O.R.A.C. est parfois qualifié « d’action coup de poing, elle doit permettre à une petite région et à ses entreprises de se moderniser. Il s’agit d’une opération limitée dans le temps, (...) il ne doit en aucun cas s’agir d’une procédure longue, institutionnelle »</w:t>
      </w:r>
      <w:r>
        <w:rPr>
          <w:rStyle w:val="Appelnotedebasdep"/>
          <w:sz w:val="22"/>
        </w:rPr>
        <w:footnoteReference w:id="29"/>
      </w:r>
      <w:r>
        <w:t>.</w:t>
      </w:r>
    </w:p>
    <w:p w:rsidR="00F42EAB" w:rsidRDefault="00B67CF2" w:rsidP="00A07AFC">
      <w:pPr>
        <w:pStyle w:val="Corpsdetexte"/>
      </w:pPr>
      <w:r>
        <w:t xml:space="preserve">Le Ministère du Commerce et de l’Artisanat, dans la circulaire du 26 juillet 1988, définit le cadre général, les objectifs, les conditions et les modalités de mise en </w:t>
      </w:r>
      <w:r w:rsidR="00C826F6">
        <w:t xml:space="preserve">œuvre </w:t>
      </w:r>
      <w:r>
        <w:t>des ORAC :</w:t>
      </w:r>
    </w:p>
    <w:p w:rsidR="00B67CF2" w:rsidRDefault="00B67CF2" w:rsidP="008714C2">
      <w:pPr>
        <w:pStyle w:val="Listepuces"/>
        <w:tabs>
          <w:tab w:val="num" w:pos="1420"/>
        </w:tabs>
      </w:pPr>
      <w:r>
        <w:t>elles se situent dans des zones rurales aux délimitations soigneusement réfléchies</w:t>
      </w:r>
      <w:r>
        <w:rPr>
          <w:rStyle w:val="Appelnotedebasdep"/>
          <w:sz w:val="22"/>
        </w:rPr>
        <w:footnoteReference w:id="30"/>
      </w:r>
      <w:r>
        <w:t xml:space="preserve"> et relativement étendues (deux cantons par exemple soit une population de 15 000 à 25 000 habitants). Les petits bassins d’emploi ruraux correspondent à l’échelle la plus appropriée</w:t>
      </w:r>
      <w:r>
        <w:rPr>
          <w:rStyle w:val="Appelnotedebasdep"/>
          <w:sz w:val="22"/>
        </w:rPr>
        <w:footnoteReference w:id="31"/>
      </w:r>
      <w:r>
        <w:t xml:space="preserve"> pour mener efficacement des O.R.A.C ;</w:t>
      </w:r>
    </w:p>
    <w:p w:rsidR="00B67CF2" w:rsidRDefault="00B67CF2" w:rsidP="008714C2">
      <w:pPr>
        <w:pStyle w:val="Listepuces"/>
        <w:tabs>
          <w:tab w:val="num" w:pos="1420"/>
        </w:tabs>
      </w:pPr>
      <w:r>
        <w:t>elles visent à inciter commerçants et artisans à réhabiliter leurs locaux d’activité grâce à des aides financières, mais surtout à impulser des actions de revitalisation (formation, recours au conseil, groupement d’entreprises pour des initiatives concertées) ;</w:t>
      </w:r>
    </w:p>
    <w:p w:rsidR="00B67CF2" w:rsidRDefault="00B67CF2" w:rsidP="008714C2">
      <w:pPr>
        <w:pStyle w:val="Listepuces"/>
        <w:tabs>
          <w:tab w:val="num" w:pos="1420"/>
        </w:tabs>
      </w:pPr>
      <w:r>
        <w:t>elles se déroulent sur maîtrise d’ouvrage soit d’une collectivité locale (SIVOM) soit d’une Compagnie Consulaire, Chambre des Métiers ou Chambre de Commerce et d’Industrie.</w:t>
      </w:r>
    </w:p>
    <w:p w:rsidR="00B67CF2" w:rsidRDefault="00B67CF2" w:rsidP="00A07AFC">
      <w:pPr>
        <w:pStyle w:val="Corpsdetexte"/>
      </w:pPr>
      <w:r>
        <w:t>Dans le cadre de cette « </w:t>
      </w:r>
      <w:r w:rsidRPr="008714C2">
        <w:rPr>
          <w:rStyle w:val="Accentuation"/>
        </w:rPr>
        <w:t>approche de développement local intersectoriel (agriculture, tourisme etc.)</w:t>
      </w:r>
      <w:r>
        <w:t> », il s’agit, selon les termes des textes instituant la procédure, d’élaborer dans chaque cas une véritable stratégie de développement économique dans un petit bassin d’emploi, portée en concertation à la fois par les professionnels des secteurs du commerce et de l’artisanat et les élus locaux. « </w:t>
      </w:r>
      <w:r w:rsidRPr="008714C2">
        <w:rPr>
          <w:rStyle w:val="Accentuation"/>
        </w:rPr>
        <w:t xml:space="preserve">Elles ont d’autant plus d’impact qu’elles bénéficient du concours de partenaires dynamiques et motivés : compagnies consulaires, collectivités locales, </w:t>
      </w:r>
      <w:r w:rsidRPr="008714C2">
        <w:rPr>
          <w:rStyle w:val="Accentuation"/>
        </w:rPr>
        <w:lastRenderedPageBreak/>
        <w:t>groupements professionnels. Elles doivent être véritablement perçues comme des projets de développement d’un bassin d’emploi, les crédits d’État exerçant un effet de levier</w:t>
      </w:r>
      <w:r>
        <w:t> »</w:t>
      </w:r>
      <w:r>
        <w:rPr>
          <w:rStyle w:val="Appelnotedebasdep"/>
          <w:sz w:val="22"/>
        </w:rPr>
        <w:footnoteReference w:id="32"/>
      </w:r>
      <w:r>
        <w:t>.</w:t>
      </w:r>
    </w:p>
    <w:p w:rsidR="00B67CF2" w:rsidRDefault="00B67CF2" w:rsidP="00A07AFC">
      <w:pPr>
        <w:pStyle w:val="Corpsdetexte"/>
      </w:pPr>
      <w:r>
        <w:t>Intégrées en 1988 dans les Contrats du Plan État-Région, ces opérations, financées conjointement par l’État et les collectivités locales, ont depuis connu un succès certain, 170 opérations peuvent être recensées à ce jour.</w:t>
      </w:r>
    </w:p>
    <w:p w:rsidR="00B67CF2" w:rsidRDefault="00B67CF2" w:rsidP="00A07AFC">
      <w:pPr>
        <w:pStyle w:val="Corpsdetexte"/>
      </w:pPr>
      <w:r>
        <w:t>Dernièrement, une annexe</w:t>
      </w:r>
      <w:r>
        <w:rPr>
          <w:rStyle w:val="Appelnotedebasdep"/>
          <w:sz w:val="22"/>
        </w:rPr>
        <w:footnoteReference w:id="33"/>
      </w:r>
      <w:r>
        <w:t xml:space="preserve"> à la convention d’application des Contrats de Plan pour la période 1995-1999 précise les modalités de mise en </w:t>
      </w:r>
      <w:r w:rsidR="00C826F6">
        <w:t xml:space="preserve">œuvre </w:t>
      </w:r>
      <w:r>
        <w:t>de cet « </w:t>
      </w:r>
      <w:r w:rsidRPr="008714C2">
        <w:rPr>
          <w:rStyle w:val="Accentuation"/>
        </w:rPr>
        <w:t>outil à même de dynamiser les activités des petits bassins d’emploi ruraux</w:t>
      </w:r>
      <w:r>
        <w:t> ».</w:t>
      </w:r>
    </w:p>
    <w:p w:rsidR="00B67CF2" w:rsidRDefault="00B67CF2" w:rsidP="00A07AFC">
      <w:pPr>
        <w:pStyle w:val="Corpsdetexte"/>
      </w:pPr>
      <w:r>
        <w:t>Ces précisions portent en premier lieu sur les zones éligibles, ces dernières visées au programme « </w:t>
      </w:r>
      <w:r w:rsidRPr="008714C2">
        <w:rPr>
          <w:rStyle w:val="Accentuation"/>
        </w:rPr>
        <w:t xml:space="preserve">Maintien des activités au service des zones rurales et de la montagne » </w:t>
      </w:r>
      <w:r>
        <w:t>du Contrat de Plan devront être l’objet d’une « </w:t>
      </w:r>
      <w:r w:rsidRPr="008714C2">
        <w:rPr>
          <w:rStyle w:val="Accentuation"/>
        </w:rPr>
        <w:t>politique de solidarité en faveur des bassins de vie ruraux les plus fragiles</w:t>
      </w:r>
      <w:r>
        <w:t> ». Ce qui signifie plus administrativement que les ORAC seront impérativement localisées en zone 5b ou objectif 2.</w:t>
      </w:r>
    </w:p>
    <w:p w:rsidR="00B67CF2" w:rsidRDefault="00B67CF2" w:rsidP="00A07AFC">
      <w:pPr>
        <w:pStyle w:val="Corpsdetexte"/>
      </w:pPr>
      <w:r>
        <w:t xml:space="preserve">Quant au cadre stratégique de sa mise en </w:t>
      </w:r>
      <w:r w:rsidR="00C826F6">
        <w:t xml:space="preserve">œuvre </w:t>
      </w:r>
      <w:r>
        <w:t xml:space="preserve">, « les ORAC financées dans le cadre du </w:t>
      </w:r>
      <w:r w:rsidR="00984F94">
        <w:t>XI</w:t>
      </w:r>
      <w:r w:rsidR="00984F94">
        <w:rPr>
          <w:vertAlign w:val="superscript"/>
        </w:rPr>
        <w:t>ème</w:t>
      </w:r>
      <w:r>
        <w:t xml:space="preserve"> plan seront programmées en lien direct avec les Programmes de Développement Intégré</w:t>
      </w:r>
      <w:r w:rsidRPr="008714C2">
        <w:rPr>
          <w:rStyle w:val="Accentuation"/>
        </w:rPr>
        <w:footnoteReference w:id="34"/>
      </w:r>
      <w:r>
        <w:t xml:space="preserve"> (PDI) dont elles constitueront un des axes de développement » sur « la base d’une démarche intercommunale soutenue par une volonté politique locale clairement exprimée ».</w:t>
      </w:r>
    </w:p>
    <w:p w:rsidR="00B67CF2" w:rsidRDefault="00B67CF2" w:rsidP="002C7BAC">
      <w:pPr>
        <w:pStyle w:val="Titre2"/>
      </w:pPr>
      <w:bookmarkStart w:id="44" w:name="_Toc333377554"/>
      <w:bookmarkStart w:id="45" w:name="_Toc336716612"/>
      <w:bookmarkStart w:id="46" w:name="_Toc398658427"/>
      <w:r>
        <w:t>L’importance des petites entreprises dans les politiques d’aménagement</w:t>
      </w:r>
      <w:bookmarkEnd w:id="44"/>
      <w:r>
        <w:t>, de l’analyse des évolutions aux représentations politiques : objet, objectif et partenariat</w:t>
      </w:r>
      <w:bookmarkEnd w:id="45"/>
      <w:bookmarkEnd w:id="46"/>
    </w:p>
    <w:p w:rsidR="00B67CF2" w:rsidRDefault="00B67CF2" w:rsidP="00A07AFC">
      <w:pPr>
        <w:pStyle w:val="Corpsdetexte"/>
      </w:pPr>
      <w:r>
        <w:t>Toute volonté de développement contrôlé d’un espace peut s’envisager à partir de deux logiques parfois antagonistes, souvent difficilement compatibles :</w:t>
      </w:r>
    </w:p>
    <w:p w:rsidR="00F42EAB" w:rsidRDefault="00B67CF2" w:rsidP="008714C2">
      <w:pPr>
        <w:pStyle w:val="Listepuces"/>
        <w:tabs>
          <w:tab w:val="num" w:pos="1420"/>
        </w:tabs>
      </w:pPr>
      <w:r>
        <w:lastRenderedPageBreak/>
        <w:t>une approche sectorielle et spécialisée qui détermine des politiques agricoles, industrielles... et dans tous les cas macro-économiques et centralisées, d’où la dimension territoriale est exclue de fait,</w:t>
      </w:r>
    </w:p>
    <w:p w:rsidR="00B67CF2" w:rsidRDefault="00B67CF2" w:rsidP="008714C2">
      <w:pPr>
        <w:pStyle w:val="Listepuces"/>
        <w:tabs>
          <w:tab w:val="num" w:pos="1420"/>
        </w:tabs>
      </w:pPr>
      <w:r>
        <w:t xml:space="preserve">une approche à l’inverse horizontale et </w:t>
      </w:r>
      <w:r w:rsidRPr="008714C2">
        <w:rPr>
          <w:rStyle w:val="Accentuation"/>
        </w:rPr>
        <w:t>territorialisée</w:t>
      </w:r>
      <w:r>
        <w:t xml:space="preserve"> qui s’oriente vers des interventions plus globales et décentralisées, et dans laquelle la dimension locale apparaît déterminante.</w:t>
      </w:r>
    </w:p>
    <w:p w:rsidR="00B67CF2" w:rsidRDefault="00B67CF2" w:rsidP="00A07AFC">
      <w:pPr>
        <w:pStyle w:val="Corpsdetexte"/>
      </w:pPr>
      <w:r>
        <w:t xml:space="preserve">La première approche a prévalu jusque dans les années soixante-dix. Elle mettait l’accent sur les forces d’entraînement des grandes entreprises et sur les effets d’interactions entre centre et périphérie, </w:t>
      </w:r>
      <w:r w:rsidRPr="008714C2">
        <w:rPr>
          <w:rStyle w:val="Accentuation"/>
        </w:rPr>
        <w:t>accessoirement</w:t>
      </w:r>
      <w:r>
        <w:t xml:space="preserve"> elle limitait la problématique </w:t>
      </w:r>
      <w:r w:rsidRPr="008714C2">
        <w:rPr>
          <w:rStyle w:val="Accentuation"/>
        </w:rPr>
        <w:t>territoriale</w:t>
      </w:r>
      <w:r>
        <w:t xml:space="preserve"> à l’opposition Paris/Province.</w:t>
      </w:r>
    </w:p>
    <w:p w:rsidR="00B67CF2" w:rsidRDefault="00B67CF2" w:rsidP="00A07AFC">
      <w:pPr>
        <w:pStyle w:val="Corpsdetexte"/>
      </w:pPr>
      <w:r>
        <w:t xml:space="preserve">La </w:t>
      </w:r>
      <w:r w:rsidRPr="008714C2">
        <w:rPr>
          <w:rStyle w:val="Accentuation"/>
        </w:rPr>
        <w:t>crise</w:t>
      </w:r>
      <w:r>
        <w:t xml:space="preserve"> a fait apparaître les limites d’un tel modèle dans la mesure où l’écrasante majorité des territoires en quête d’un renouveau économique n’avait d’autres ressources qu’un tissu, souvent à la trame des plus distendue, de très petites entreprises artisanales et commerciales, entreprises, qui plus est, positionnées sur des secteurs traditionnels en déclin.</w:t>
      </w:r>
      <w:r w:rsidR="00C826F6">
        <w:t xml:space="preserve"> Dès</w:t>
      </w:r>
      <w:r>
        <w:t xml:space="preserve"> lors, l’aménagement du territoire ne pouvait plus être perçu sous la seule forme d’une intervention </w:t>
      </w:r>
      <w:r w:rsidRPr="008714C2">
        <w:rPr>
          <w:rStyle w:val="Accentuation"/>
        </w:rPr>
        <w:t>distributive</w:t>
      </w:r>
      <w:r>
        <w:t xml:space="preserve"> et régulatrice de l’État providence, il devait maintenant poser « </w:t>
      </w:r>
      <w:r w:rsidRPr="008714C2">
        <w:rPr>
          <w:rStyle w:val="Accentuation"/>
        </w:rPr>
        <w:t>les conditions d’un développement endogène susceptible de maintenir et de pérenniser des emplois fixant les populations, ceci afin de stopper la désertification de paysages essentiels</w:t>
      </w:r>
      <w:r>
        <w:t> »</w:t>
      </w:r>
      <w:r>
        <w:rPr>
          <w:rStyle w:val="Appelnotedebasdep"/>
          <w:sz w:val="22"/>
        </w:rPr>
        <w:footnoteReference w:id="35"/>
      </w:r>
      <w:r>
        <w:t>.</w:t>
      </w:r>
    </w:p>
    <w:p w:rsidR="00B67CF2" w:rsidRDefault="00B67CF2" w:rsidP="00A07AFC">
      <w:pPr>
        <w:pStyle w:val="Corpsdetexte"/>
      </w:pPr>
      <w:r>
        <w:t>Ce retournement de tendance dans la vision du développement économique a donné naissance à des politiques d’aménagement plus différenciées</w:t>
      </w:r>
      <w:r>
        <w:rPr>
          <w:rStyle w:val="Appelnotedebasdep"/>
          <w:sz w:val="22"/>
        </w:rPr>
        <w:footnoteReference w:id="36"/>
      </w:r>
      <w:r>
        <w:t>. En effet on peut constater que, malgré un caractère sectoriel encore très marqué des politiques nationales de croissance, une vision plus locale s’est imposée sous la pression des collectivités locales, et notamment des Régions, relayant, budget oblige, les schémas communautaires.</w:t>
      </w:r>
    </w:p>
    <w:p w:rsidR="00B67CF2" w:rsidRDefault="00B67CF2" w:rsidP="00A07AFC">
      <w:pPr>
        <w:pStyle w:val="Corpsdetexte"/>
      </w:pPr>
      <w:r>
        <w:lastRenderedPageBreak/>
        <w:t>Toutefois, la dimension spatiale du local a pu faciliter une dérive cartographique des problématiques d’aménagement du territoire, « l’addition des zones de la PAT, des zones FIDAR, des zones de conversion, des zones sensibles, des zones franches ; des pays, des bassins etc. (ont fait) de la France un véritable « bocage administratif » dans une Europe depuis longtemps remembrée »</w:t>
      </w:r>
      <w:r>
        <w:rPr>
          <w:rStyle w:val="Appelnotedebasdep"/>
          <w:sz w:val="22"/>
        </w:rPr>
        <w:footnoteReference w:id="37"/>
      </w:r>
      <w:r>
        <w:t>.</w:t>
      </w:r>
    </w:p>
    <w:p w:rsidR="00B67CF2" w:rsidRPr="008714C2" w:rsidRDefault="00B67CF2" w:rsidP="00A07AFC">
      <w:pPr>
        <w:pStyle w:val="Corpsdetexte"/>
        <w:rPr>
          <w:rStyle w:val="Accentuation"/>
        </w:rPr>
      </w:pPr>
      <w:r>
        <w:t>Partant de ce constat pessimiste</w:t>
      </w:r>
      <w:r>
        <w:rPr>
          <w:rStyle w:val="Appelnotedebasdep"/>
          <w:sz w:val="22"/>
        </w:rPr>
        <w:footnoteReference w:id="38"/>
      </w:r>
      <w:r>
        <w:t>, certains ont analysé l’effet développement local comme étant un artifice de bureaucratie, une illusion</w:t>
      </w:r>
      <w:r w:rsidRPr="008714C2">
        <w:rPr>
          <w:rStyle w:val="Accentuation"/>
        </w:rPr>
        <w:t>. « Production idéologique remarquable, le développement local s’énonce suivant des caractères généraux qui ne dépendent d’aucun pays en particulier ; le système est sans frontière, sans limites, sans terre, valable partout et nulle part, et s’inscrit naturellement dans un temps long qui ne se construit pas suivant une variété d’événements, mais d’emblée suivant une tendance à laquelle pourrait obéir l’histoire, donc fi du territoire commun lieu et milieu, fi du temps court et événementiel ! Le local sans territoire, immobilisé dans le temps long, se conforme à une entité abstraite, administrable et hiérarchisée, où l’attribution de la valeur est faite a priori et ne dépend pas des jeux complexes et hasardeux de l’offre et de la demande : le développement local est situé, a priori, hors marché »</w:t>
      </w:r>
      <w:r w:rsidRPr="008407FA">
        <w:rPr>
          <w:rStyle w:val="Appelnotedebasdep"/>
          <w:i/>
          <w:iCs/>
          <w:sz w:val="22"/>
        </w:rPr>
        <w:footnoteReference w:id="39"/>
      </w:r>
      <w:r w:rsidRPr="008714C2">
        <w:rPr>
          <w:rStyle w:val="Accentuation"/>
        </w:rPr>
        <w:t>.</w:t>
      </w:r>
    </w:p>
    <w:p w:rsidR="00F42EAB" w:rsidRDefault="00B67CF2" w:rsidP="00A07AFC">
      <w:pPr>
        <w:pStyle w:val="Corpsdetexte"/>
      </w:pPr>
      <w:r>
        <w:t xml:space="preserve">Comment alors dépasser cette </w:t>
      </w:r>
      <w:r w:rsidRPr="008714C2">
        <w:rPr>
          <w:rStyle w:val="Accentuation"/>
        </w:rPr>
        <w:t>dématérialisation</w:t>
      </w:r>
      <w:r>
        <w:t xml:space="preserve"> du territoire sans tomber dans les pièges et les effets pervers liés aux </w:t>
      </w:r>
      <w:r w:rsidRPr="008714C2">
        <w:rPr>
          <w:rStyle w:val="Accentuation"/>
        </w:rPr>
        <w:t>idéologies</w:t>
      </w:r>
      <w:r>
        <w:t xml:space="preserve"> du développement local ?</w:t>
      </w:r>
    </w:p>
    <w:p w:rsidR="00F42EAB" w:rsidRDefault="00B67CF2" w:rsidP="00A07AFC">
      <w:pPr>
        <w:pStyle w:val="Corpsdetexte"/>
      </w:pPr>
      <w:r>
        <w:t xml:space="preserve">Pour Lecoq, parler simultanément de territoire et de développement, c’est avant tout adopter un </w:t>
      </w:r>
      <w:r w:rsidRPr="008714C2">
        <w:rPr>
          <w:rStyle w:val="Accentuation"/>
        </w:rPr>
        <w:t>paradigme existentiel</w:t>
      </w:r>
      <w:r>
        <w:t xml:space="preserve">, celui du </w:t>
      </w:r>
      <w:r w:rsidRPr="008714C2">
        <w:rPr>
          <w:rStyle w:val="Accentuation"/>
        </w:rPr>
        <w:t>développement territorial</w:t>
      </w:r>
      <w:r>
        <w:t>, préférable à un développement fonctionnel a-spatial.</w:t>
      </w:r>
    </w:p>
    <w:p w:rsidR="00B67CF2" w:rsidRDefault="00B67CF2" w:rsidP="00A07AFC">
      <w:pPr>
        <w:pStyle w:val="Corpsdetexte"/>
      </w:pPr>
      <w:r>
        <w:t xml:space="preserve">Une politique publique visant à favoriser la viabilité des territoires locaux renvoie à la compréhension des modes de coopérations locales et des possibilités de mutation qui leur sont associées. Fournir un environnement capable de soutenir les tentatives d’échanges et d’apprentissages entre agents afin de faire face aux changements structurels globaux devient alors l’objectif prioritaire des politiques économiques de développement et de stabilisation des territoires locaux. </w:t>
      </w:r>
      <w:r w:rsidRPr="008714C2">
        <w:rPr>
          <w:rStyle w:val="Accentuation"/>
        </w:rPr>
        <w:t xml:space="preserve">Plus que </w:t>
      </w:r>
      <w:r w:rsidRPr="008714C2">
        <w:rPr>
          <w:rStyle w:val="Accentuation"/>
        </w:rPr>
        <w:lastRenderedPageBreak/>
        <w:t>des incitations financières directes, une politique économique locale visant à assurer le développement (...) devrait aider à créer un environnement compatible avec le mode de coordination dominant entre les agents économiques</w:t>
      </w:r>
      <w:r>
        <w:t> »</w:t>
      </w:r>
      <w:r>
        <w:rPr>
          <w:rStyle w:val="Appelnotedebasdep"/>
          <w:sz w:val="22"/>
        </w:rPr>
        <w:footnoteReference w:id="40"/>
      </w:r>
      <w:r>
        <w:t>.</w:t>
      </w:r>
    </w:p>
    <w:p w:rsidR="00B67CF2" w:rsidRDefault="00B67CF2" w:rsidP="00A07AFC">
      <w:pPr>
        <w:pStyle w:val="Corpsdetexte"/>
      </w:pPr>
      <w:r>
        <w:t>En d’autres termes, si par le passé il s’agissait simplement d’activer et de valoriser les ressources</w:t>
      </w:r>
      <w:r>
        <w:rPr>
          <w:rStyle w:val="Appelnotedebasdep"/>
          <w:sz w:val="22"/>
        </w:rPr>
        <w:footnoteReference w:id="41"/>
      </w:r>
      <w:r>
        <w:t xml:space="preserve"> génériques (techniques, connaissances, matériaux...) mobilisables rapidement sans transformation ni adaptation aux besoins locaux, il s’agit aujourd’hui de créer ou d’acquérir à plusieurs les ressources extérieures nécessaires pour affronter la concurrence de plus en plus extra-locale. « </w:t>
      </w:r>
      <w:r w:rsidRPr="008714C2">
        <w:rPr>
          <w:rStyle w:val="Accentuation"/>
        </w:rPr>
        <w:t>Les cadres familiers et habituels du territoire national se sont peu à peu effacés au profit d’un espace sans commune mesure. Les conséquences de cette transformation sont essentielles en ce qui concerne la volonté affirmée d’orienter les modalités de l’occupation de l’espace que constitue toute politique d’aménagement du territoire et de développement économique</w:t>
      </w:r>
      <w:r>
        <w:t> »</w:t>
      </w:r>
      <w:r>
        <w:rPr>
          <w:rStyle w:val="Appelnotedebasdep"/>
          <w:sz w:val="22"/>
        </w:rPr>
        <w:footnoteReference w:id="42"/>
      </w:r>
      <w:r>
        <w:t xml:space="preserve"> .</w:t>
      </w:r>
    </w:p>
    <w:p w:rsidR="00F42EAB" w:rsidRDefault="00B67CF2" w:rsidP="00A07AFC">
      <w:pPr>
        <w:pStyle w:val="Corpsdetexte"/>
      </w:pPr>
      <w:r>
        <w:t xml:space="preserve">Cela suggère une autre vision de l’aide que l’État central peut apporter à ses territoires ruraux, plus liée à une problématique de la méthode qu’à celle, traditionnelle et fortement ancrée dans la mentalité des élus locaux (et notamment chez les Conseillers Généraux des cantons ruraux) de la </w:t>
      </w:r>
      <w:r w:rsidRPr="008714C2">
        <w:rPr>
          <w:rStyle w:val="Accentuation"/>
        </w:rPr>
        <w:t>distribution</w:t>
      </w:r>
      <w:r>
        <w:t xml:space="preserve"> des crédits d’État.</w:t>
      </w:r>
    </w:p>
    <w:p w:rsidR="00B67CF2" w:rsidRDefault="00B67CF2" w:rsidP="00A07AFC">
      <w:pPr>
        <w:pStyle w:val="Corpsdetexte"/>
      </w:pPr>
      <w:r>
        <w:t>En effet, si l’objectif est bien de mobiliser des potentiels extérieurs au profit de territoires qui en sont dépourvus et afin que ces derniers s’insèrent dans des espaces économiques qui débordent largement leurs frontières traditionnelles, alors la responsabilité des collectivités ne peut se limiter à l’octroi de subventions ou à la mobilisation strictement locale des ressources, parfois naturelles, le plus souvent génériques</w:t>
      </w:r>
      <w:r>
        <w:rPr>
          <w:rStyle w:val="Appelnotedebasdep"/>
          <w:sz w:val="22"/>
        </w:rPr>
        <w:footnoteReference w:id="43"/>
      </w:r>
      <w:r>
        <w:t>.</w:t>
      </w:r>
    </w:p>
    <w:p w:rsidR="00B67CF2" w:rsidRDefault="00B67CF2" w:rsidP="00A07AFC">
      <w:pPr>
        <w:pStyle w:val="Corpsdetexte"/>
      </w:pPr>
      <w:r>
        <w:lastRenderedPageBreak/>
        <w:t>Dans cette optique nous pouvons penser que les responsables politiques, les représentant des Chambres Consulaires, les Conseils Généraux et Régionaux, les services décentralisés de l’État sont, à raison, de plus en plus sollicités afin de « </w:t>
      </w:r>
      <w:r w:rsidRPr="008714C2">
        <w:rPr>
          <w:rStyle w:val="Accentuation"/>
        </w:rPr>
        <w:t>se comporter davantage en animateur de la vie économique locale (afin de favoriser) les synergies nécessaires. Le développement économique dépend d’une manière croissante de prestations politiques efficaces, tant dans la création de ressources que dans la médiation des intérêts. Le consensus devient donc plus instrumental, plus directement lié à la capacité du système politique local à satisfaire des demandes spécifiques</w:t>
      </w:r>
      <w:r>
        <w:t> »</w:t>
      </w:r>
      <w:r>
        <w:rPr>
          <w:rStyle w:val="Appelnotedebasdep"/>
          <w:sz w:val="22"/>
        </w:rPr>
        <w:footnoteReference w:id="44"/>
      </w:r>
      <w:r>
        <w:t>.</w:t>
      </w:r>
    </w:p>
    <w:p w:rsidR="00F42EAB" w:rsidRDefault="00B67CF2" w:rsidP="00A07AFC">
      <w:pPr>
        <w:pStyle w:val="Corpsdetexte"/>
      </w:pPr>
      <w:r>
        <w:t xml:space="preserve">C’est justement dans la distance qui existe entre les représentations dominantes de ceux qui </w:t>
      </w:r>
      <w:r w:rsidRPr="008714C2">
        <w:rPr>
          <w:rStyle w:val="Accentuation"/>
        </w:rPr>
        <w:t>font</w:t>
      </w:r>
      <w:r>
        <w:t xml:space="preserve"> les réponses politiques et celles de ceux à qui ces réponses sont destinées, que réside ce qui nous semble constituer un obstacle majeur à l’efficience des aides.</w:t>
      </w:r>
    </w:p>
    <w:p w:rsidR="00B67CF2" w:rsidRDefault="00B67CF2" w:rsidP="008407FA">
      <w:pPr>
        <w:pStyle w:val="Listepuces"/>
        <w:tabs>
          <w:tab w:val="num" w:pos="1420"/>
        </w:tabs>
      </w:pPr>
      <w:r>
        <w:t>Car malgré une recherche certaine d’adaptation des conditions opérationnelles des politiques de développement territorial</w:t>
      </w:r>
      <w:r>
        <w:rPr>
          <w:rStyle w:val="Appelnotedebasdep"/>
          <w:sz w:val="22"/>
        </w:rPr>
        <w:footnoteReference w:id="45"/>
      </w:r>
      <w:r>
        <w:t xml:space="preserve"> (meilleur zonage, ciblage des publics, extension des partenariats...), les systèmes socio-économiques surtout ruraux semblent toujours s’appréhender dans le discours politique sous les contours d’une réalité </w:t>
      </w:r>
      <w:r w:rsidRPr="008714C2">
        <w:rPr>
          <w:rStyle w:val="Accentuation"/>
        </w:rPr>
        <w:t>lisse et homogène</w:t>
      </w:r>
      <w:r>
        <w:t>, gommant les originalités locales</w:t>
      </w:r>
      <w:r>
        <w:rPr>
          <w:rStyle w:val="Appelnotedebasdep"/>
          <w:sz w:val="22"/>
        </w:rPr>
        <w:footnoteReference w:id="46"/>
      </w:r>
      <w:r>
        <w:t>, reflet des principes constitutionnels d’unité de l’État et d’égalité des citoyens devant la loi qui imposeraient un mode uniforme d’organisation et de gestion du territoire.</w:t>
      </w:r>
    </w:p>
    <w:p w:rsidR="00B67CF2" w:rsidRDefault="00B67CF2" w:rsidP="008714C2">
      <w:pPr>
        <w:pStyle w:val="Listepuces"/>
        <w:tabs>
          <w:tab w:val="num" w:pos="1420"/>
        </w:tabs>
      </w:pPr>
      <w:r>
        <w:t xml:space="preserve">Ainsi, et bien que les politiques s’orientent résolument vers une aide adaptée aux besoins des petites entreprises, ce qui semble souhaitable dans la mesure où, au-delà d’être reconnues comme premier créateur d’emploi, elles représentent une écrasante majorité en milieu rural. Mais les orientations données aux opérations en leur faveur restent pour le moins abstraites, invoquant plus que provoquant leur compétitivité, leur capacité à innover ou tout au moins leur modernisation. Mais que veut dire </w:t>
      </w:r>
      <w:r w:rsidRPr="008714C2">
        <w:rPr>
          <w:rStyle w:val="Accentuation"/>
        </w:rPr>
        <w:t>innover</w:t>
      </w:r>
      <w:r>
        <w:t xml:space="preserve"> pour le boucher traditionnel ou le boulanger du coin, comment se </w:t>
      </w:r>
      <w:r w:rsidRPr="008714C2">
        <w:rPr>
          <w:rStyle w:val="Accentuation"/>
        </w:rPr>
        <w:lastRenderedPageBreak/>
        <w:t>moderniser</w:t>
      </w:r>
      <w:r>
        <w:t xml:space="preserve"> quand on est positionné sur le créneau traditionnel de l’agro-alimentaire, que faire pour être </w:t>
      </w:r>
      <w:r w:rsidRPr="008714C2">
        <w:rPr>
          <w:rStyle w:val="Accentuation"/>
        </w:rPr>
        <w:t>compétitif</w:t>
      </w:r>
      <w:r>
        <w:t xml:space="preserve"> alors que des commerçants</w:t>
      </w:r>
      <w:r w:rsidRPr="008714C2">
        <w:rPr>
          <w:rStyle w:val="Accentuation"/>
        </w:rPr>
        <w:t xml:space="preserve"> du bout du monde</w:t>
      </w:r>
      <w:r>
        <w:t xml:space="preserve"> aux moyens considérablement plus importants que les vôtres vendent à votre porte ?</w:t>
      </w:r>
    </w:p>
    <w:p w:rsidR="00B67CF2" w:rsidRDefault="00B67CF2" w:rsidP="008714C2">
      <w:pPr>
        <w:pStyle w:val="Listepuces"/>
        <w:tabs>
          <w:tab w:val="num" w:pos="1420"/>
        </w:tabs>
      </w:pPr>
      <w:r>
        <w:t>La révision des zonages, imposée par la prise en compte de réalités locales différenciées et donc impliquant des traitements spécifiques, s’est traduite essentiellement par une simple extension des frontières du territoire en retard de développement, celui-ci s’inscrivant inévitablement dans un espace à maillage contigu, offrant le moins possible de ruptures spatiales</w:t>
      </w:r>
      <w:r>
        <w:rPr>
          <w:rStyle w:val="Appelnotedebasdep"/>
          <w:sz w:val="22"/>
        </w:rPr>
        <w:footnoteReference w:id="47"/>
      </w:r>
      <w:r>
        <w:t>.</w:t>
      </w:r>
    </w:p>
    <w:p w:rsidR="00B67CF2" w:rsidRDefault="00B67CF2" w:rsidP="008714C2">
      <w:pPr>
        <w:pStyle w:val="Listepuces"/>
        <w:tabs>
          <w:tab w:val="num" w:pos="1420"/>
        </w:tabs>
      </w:pPr>
      <w:r>
        <w:t xml:space="preserve">De même, la mise en </w:t>
      </w:r>
      <w:r w:rsidR="00C826F6">
        <w:t xml:space="preserve">œuvre </w:t>
      </w:r>
      <w:r>
        <w:t>des actions de développement repose essentiellement sur un partenariat établi selon des critères géographiques, financiers, voire de représentativité démocratique (donc formels plutôt que fonctionnels) et qui de ce fait risque d’être peu en phase avec les réalités socio-économiques locales.</w:t>
      </w:r>
    </w:p>
    <w:p w:rsidR="00B67CF2" w:rsidRDefault="00B67CF2" w:rsidP="008714C2">
      <w:pPr>
        <w:pStyle w:val="Listepuces"/>
        <w:tabs>
          <w:tab w:val="num" w:pos="1420"/>
        </w:tabs>
        <w:rPr>
          <w:sz w:val="22"/>
        </w:rPr>
      </w:pPr>
      <w:r>
        <w:t>Enfin, les procédures (pour des raisons juridiques?), limitent les aides financières aux entités de statut privé, mais, dans un même mouvement écartent du champ d’intervention les organisations de statut public. Or les établissements d’enseignement technique, nombreux en milieu rural sont porteurs de compétences aptes à satisfaire des demandes de formations, de conseils, de gestion... et de sociabilité. Ils pourraient représenter une alternative efficace à l’absence de conseils aux entreprises en milieu rural</w:t>
      </w:r>
      <w:r>
        <w:rPr>
          <w:sz w:val="22"/>
        </w:rPr>
        <w:t>.</w:t>
      </w:r>
    </w:p>
    <w:p w:rsidR="00B67CF2" w:rsidRDefault="00B67CF2" w:rsidP="00A07AFC">
      <w:pPr>
        <w:pStyle w:val="Corpsdetexte"/>
      </w:pPr>
      <w:r>
        <w:t xml:space="preserve">En regard de ces </w:t>
      </w:r>
      <w:r w:rsidRPr="008714C2">
        <w:rPr>
          <w:rStyle w:val="Accentuation"/>
        </w:rPr>
        <w:t>modes de développement</w:t>
      </w:r>
      <w:r>
        <w:t>, on est en droit de se demander si le concept de développement local est vraiment pertinent, susceptible d’être porteur d’intelligibilité</w:t>
      </w:r>
      <w:r>
        <w:rPr>
          <w:rStyle w:val="Appelnotedebasdep"/>
          <w:sz w:val="22"/>
        </w:rPr>
        <w:footnoteReference w:id="48"/>
      </w:r>
      <w:r>
        <w:t>.</w:t>
      </w:r>
    </w:p>
    <w:p w:rsidR="00B67CF2" w:rsidRDefault="00B67CF2" w:rsidP="008714C2">
      <w:pPr>
        <w:pStyle w:val="Titre1"/>
      </w:pPr>
      <w:bookmarkStart w:id="47" w:name="_Toc333377555"/>
      <w:bookmarkStart w:id="48" w:name="_Toc336716613"/>
      <w:bookmarkStart w:id="49" w:name="_Toc398658428"/>
      <w:r>
        <w:lastRenderedPageBreak/>
        <w:t>Données théoriques</w:t>
      </w:r>
      <w:bookmarkStart w:id="50" w:name="_Toc333377556"/>
      <w:bookmarkEnd w:id="47"/>
      <w:r w:rsidR="009415E0">
        <w:t> :</w:t>
      </w:r>
      <w:r w:rsidR="008C3C54">
        <w:t xml:space="preserve"> </w:t>
      </w:r>
      <w:r>
        <w:t>les concepts disponibles en Sciences Humaines</w:t>
      </w:r>
      <w:bookmarkEnd w:id="48"/>
      <w:bookmarkEnd w:id="49"/>
      <w:bookmarkEnd w:id="50"/>
    </w:p>
    <w:p w:rsidR="00B67CF2" w:rsidRDefault="00B67CF2" w:rsidP="002C7BAC">
      <w:pPr>
        <w:pStyle w:val="Titre2"/>
      </w:pPr>
      <w:bookmarkStart w:id="51" w:name="_Toc336716614"/>
      <w:bookmarkStart w:id="52" w:name="_Toc398658429"/>
      <w:r>
        <w:t>Le développement d’un territoire, une démarche orientée, endogène et plurielle</w:t>
      </w:r>
      <w:bookmarkEnd w:id="51"/>
      <w:bookmarkEnd w:id="52"/>
    </w:p>
    <w:p w:rsidR="00F42EAB" w:rsidRDefault="00B67CF2" w:rsidP="00A07AFC">
      <w:pPr>
        <w:pStyle w:val="Titre3"/>
      </w:pPr>
      <w:bookmarkStart w:id="53" w:name="_Toc336716615"/>
      <w:bookmarkStart w:id="54" w:name="_Toc398658430"/>
      <w:r w:rsidRPr="008407FA">
        <w:t>Que recouvre le concept de développement d’un territoire ?</w:t>
      </w:r>
      <w:bookmarkEnd w:id="53"/>
      <w:bookmarkEnd w:id="54"/>
    </w:p>
    <w:p w:rsidR="00F42EAB" w:rsidRDefault="00984F94" w:rsidP="00A07AFC">
      <w:pPr>
        <w:pStyle w:val="Corpsdetexte"/>
      </w:pPr>
      <w:r>
        <w:t>Qu’entend-on</w:t>
      </w:r>
      <w:r w:rsidR="00B67CF2">
        <w:t xml:space="preserve"> au juste par développement ? Répondre à cette question n’est certes pas facile mais avoir pour ambition d’apporter quelques réponses aux difficultés rencontrées par nombre de </w:t>
      </w:r>
      <w:r w:rsidR="00B67CF2" w:rsidRPr="008714C2">
        <w:rPr>
          <w:rStyle w:val="Accentuation"/>
        </w:rPr>
        <w:t>localités</w:t>
      </w:r>
      <w:r w:rsidR="00B67CF2">
        <w:t xml:space="preserve"> lors de la mise en </w:t>
      </w:r>
      <w:r w:rsidR="00C826F6">
        <w:t xml:space="preserve">œuvre </w:t>
      </w:r>
      <w:r w:rsidR="00B67CF2">
        <w:t>de programmes de développement, pose comme souhaitable la recherche d’une définition des principales composantes de ce développement.</w:t>
      </w:r>
    </w:p>
    <w:p w:rsidR="00F42EAB" w:rsidRDefault="00B67CF2" w:rsidP="00A07AFC">
      <w:pPr>
        <w:pStyle w:val="Corpsdetexte"/>
      </w:pPr>
      <w:proofErr w:type="spellStart"/>
      <w:r>
        <w:t>Mela</w:t>
      </w:r>
      <w:proofErr w:type="spellEnd"/>
      <w:r>
        <w:t xml:space="preserve"> dégage cinq paradigmes qui permettent d’ordonner les formes de développement</w:t>
      </w:r>
      <w:r>
        <w:rPr>
          <w:rStyle w:val="Appelnotedebasdep"/>
          <w:sz w:val="22"/>
        </w:rPr>
        <w:footnoteReference w:id="49"/>
      </w:r>
      <w:r>
        <w:t> :</w:t>
      </w:r>
    </w:p>
    <w:p w:rsidR="00B67CF2" w:rsidRDefault="00B67CF2" w:rsidP="008714C2">
      <w:pPr>
        <w:pStyle w:val="Listepuces"/>
        <w:tabs>
          <w:tab w:val="num" w:pos="1420"/>
        </w:tabs>
      </w:pPr>
      <w:r>
        <w:t>le développement linéaire : dans ce modèle, le développement régional doit adopter un modèle unique, cette unicité s’applique à toutes les régions d’un pays (et est valable pour tous pays) et positionne divers degrés de développement selon un axe qui va d’un état basé sur les traditions à une situation de modernité ;</w:t>
      </w:r>
    </w:p>
    <w:p w:rsidR="00B67CF2" w:rsidRDefault="00B67CF2" w:rsidP="008714C2">
      <w:pPr>
        <w:pStyle w:val="Listepuces"/>
        <w:tabs>
          <w:tab w:val="num" w:pos="1420"/>
        </w:tabs>
      </w:pPr>
      <w:r>
        <w:t>le développement différencié : la position d’un territoire en développement s’analyse en termes d’opposition (villes et campagnes) et de rivalités (l’innovation contre l’immobilisme) ;</w:t>
      </w:r>
    </w:p>
    <w:p w:rsidR="00B67CF2" w:rsidRDefault="00B67CF2" w:rsidP="008714C2">
      <w:pPr>
        <w:pStyle w:val="Listepuces"/>
        <w:tabs>
          <w:tab w:val="num" w:pos="1420"/>
        </w:tabs>
      </w:pPr>
      <w:r>
        <w:t>le développement endogène : ce mode de développement se réfère à la capacité du local à créer ses propres processus d’appel de ressources venant de l’extérieur. Le développement va alors s’appuyer sur les différents modes de combinaison et de valorisation des ressources locales (dont les entreprises en constituent la première composante) et extérieures (informations, innovations, savoir-faire nouveaux...) ;</w:t>
      </w:r>
    </w:p>
    <w:p w:rsidR="00B67CF2" w:rsidRDefault="00B67CF2" w:rsidP="008714C2">
      <w:pPr>
        <w:pStyle w:val="Listepuces"/>
        <w:tabs>
          <w:tab w:val="num" w:pos="1420"/>
        </w:tabs>
      </w:pPr>
      <w:r>
        <w:t xml:space="preserve">neutralisation du territoire : plutôt qu’un mode de développement, ce paradigme insiste sur la faible importance de la localisation territoriale du développement, sans toutefois signifier qu’une aire développée puisse </w:t>
      </w:r>
      <w:r>
        <w:lastRenderedPageBreak/>
        <w:t>s’inscrire sur n’importe quel territoire. « </w:t>
      </w:r>
      <w:r w:rsidRPr="008714C2">
        <w:rPr>
          <w:rStyle w:val="Accentuation"/>
        </w:rPr>
        <w:t>La conséquence de cette faiblesse du facteur territorial dans le développement local s’exprime par la multiplicité des parcours régionaux de développement</w:t>
      </w:r>
      <w:r>
        <w:t> </w:t>
      </w:r>
      <w:r>
        <w:rPr>
          <w:rStyle w:val="Appelnotedebasdep"/>
        </w:rPr>
        <w:footnoteReference w:id="50"/>
      </w:r>
      <w:r>
        <w:t>» ;</w:t>
      </w:r>
    </w:p>
    <w:p w:rsidR="00B67CF2" w:rsidRDefault="00B67CF2" w:rsidP="008714C2">
      <w:pPr>
        <w:pStyle w:val="Listepuces"/>
        <w:tabs>
          <w:tab w:val="num" w:pos="1420"/>
        </w:tabs>
      </w:pPr>
      <w:r>
        <w:t xml:space="preserve">le développement polarisé : l’on peut constater que le développement local s’organise autour de grandes métropoles et est guidé par elles. Les villes prennent alors le rôle </w:t>
      </w:r>
      <w:r w:rsidRPr="008714C2">
        <w:rPr>
          <w:rStyle w:val="Accentuation"/>
        </w:rPr>
        <w:t>d’attracteur de développement</w:t>
      </w:r>
      <w:r>
        <w:t xml:space="preserve"> captant les flux financiers et humains, orientant les réseaux de relations à l’échelle locale et extra-locale.</w:t>
      </w:r>
    </w:p>
    <w:p w:rsidR="00F42EAB" w:rsidRDefault="00B67CF2" w:rsidP="00A07AFC">
      <w:pPr>
        <w:pStyle w:val="Corpsdetexte"/>
      </w:pPr>
      <w:r>
        <w:t>Face à cette hétérogénéité de conception du développement territorial, peut-on parler d’un modèle de développement local ? A l’évidence non. « </w:t>
      </w:r>
      <w:r w:rsidRPr="008714C2">
        <w:rPr>
          <w:rStyle w:val="Accentuation"/>
        </w:rPr>
        <w:t>Ni mode, ni modèle, le développement local est une dynamique qui met en évidence l’efficacité des relations non exclusivement marchandes entre les hommes pour valoriser les richesses dont ils disposent</w:t>
      </w:r>
      <w:r>
        <w:t xml:space="preserve"> » </w:t>
      </w:r>
      <w:r>
        <w:rPr>
          <w:rStyle w:val="Appelnotedebasdep"/>
          <w:sz w:val="22"/>
        </w:rPr>
        <w:footnoteReference w:id="51"/>
      </w:r>
      <w:r>
        <w:t>.</w:t>
      </w:r>
    </w:p>
    <w:p w:rsidR="00F42EAB" w:rsidRDefault="00B67CF2" w:rsidP="00A07AFC">
      <w:pPr>
        <w:pStyle w:val="Corpsdetexte"/>
      </w:pPr>
      <w:r>
        <w:t>Il apparaît donc que le développement local ne se définit pas par l’intermédiaire d’un modèle unique</w:t>
      </w:r>
      <w:r>
        <w:rPr>
          <w:rStyle w:val="Appelnotedebasdep"/>
          <w:sz w:val="22"/>
        </w:rPr>
        <w:footnoteReference w:id="52"/>
      </w:r>
      <w:r>
        <w:t xml:space="preserve">, étant donné la diversité des conditions géographiques, sociales et culturelles des </w:t>
      </w:r>
      <w:r w:rsidRPr="008714C2">
        <w:rPr>
          <w:rStyle w:val="Accentuation"/>
        </w:rPr>
        <w:t>localités</w:t>
      </w:r>
      <w:r>
        <w:t>. Toutefois il est possible de repérer un ensemble de caractéristiques qui découlent directement de ses principes constitutifs :</w:t>
      </w:r>
    </w:p>
    <w:p w:rsidR="00B67CF2" w:rsidRDefault="00B67CF2" w:rsidP="008714C2">
      <w:pPr>
        <w:pStyle w:val="Listepuces"/>
        <w:tabs>
          <w:tab w:val="num" w:pos="1420"/>
        </w:tabs>
      </w:pPr>
      <w:r>
        <w:t>le développement comporte une dimension territoriale, qui doit tenir compte de la hiérarchie urbaine à laquelle il s’articule ;</w:t>
      </w:r>
    </w:p>
    <w:p w:rsidR="00B67CF2" w:rsidRDefault="00B67CF2" w:rsidP="008714C2">
      <w:pPr>
        <w:pStyle w:val="Listepuces"/>
        <w:tabs>
          <w:tab w:val="num" w:pos="1420"/>
        </w:tabs>
      </w:pPr>
      <w:r>
        <w:t xml:space="preserve">le développement s’appuie sur une force endogène, notamment la volonté de ses acteurs (essentiellement représentée au niveau local par </w:t>
      </w:r>
      <w:r>
        <w:lastRenderedPageBreak/>
        <w:t>l’entreprenariat privé</w:t>
      </w:r>
      <w:r>
        <w:rPr>
          <w:rStyle w:val="Appelnotedebasdep"/>
          <w:sz w:val="22"/>
        </w:rPr>
        <w:footnoteReference w:id="53"/>
      </w:r>
      <w:r>
        <w:t xml:space="preserve"> et éventuellement les organisations publiques) ; de s’intégrer à un processus commun de valorisation du territoire ;</w:t>
      </w:r>
    </w:p>
    <w:p w:rsidR="00B67CF2" w:rsidRDefault="00B67CF2" w:rsidP="008714C2">
      <w:pPr>
        <w:pStyle w:val="Listepuces"/>
        <w:tabs>
          <w:tab w:val="num" w:pos="1420"/>
        </w:tabs>
      </w:pPr>
      <w:r>
        <w:t>le développement fait appel à une volonté de concertation, à la mise en place de mécanismes partenariaux, de réseaux d’échange, notamment de connaissances, de méthodes, d’apprentissage, de services...</w:t>
      </w:r>
    </w:p>
    <w:p w:rsidR="00B67CF2" w:rsidRDefault="00B67CF2" w:rsidP="008714C2">
      <w:pPr>
        <w:pStyle w:val="Listepuces"/>
        <w:tabs>
          <w:tab w:val="num" w:pos="1420"/>
        </w:tabs>
      </w:pPr>
      <w:r>
        <w:t>enfin l’innovation au sein des entreprises est une condition première du développement. Le processus d’innovation étant défini comme un processus de création de ressources, il implique l’acteur (entreprise, élu...) non pas de façon isolée, mais en relation avec son environnement.</w:t>
      </w:r>
    </w:p>
    <w:p w:rsidR="00F42EAB" w:rsidRDefault="00B67CF2" w:rsidP="00A07AFC">
      <w:pPr>
        <w:pStyle w:val="Corpsdetexte"/>
      </w:pPr>
      <w:r>
        <w:t>Il faut toutefois se garder de réduire le développement local à ce dernier aspect. « </w:t>
      </w:r>
      <w:r w:rsidRPr="008714C2">
        <w:rPr>
          <w:rStyle w:val="Accentuation"/>
        </w:rPr>
        <w:t>La présence de petites entreprises ne signifie pas nécessairement l’existence d’une dynamique locale »</w:t>
      </w:r>
      <w:r w:rsidRPr="008879F3">
        <w:rPr>
          <w:rStyle w:val="Appelnotedebasdep"/>
        </w:rPr>
        <w:footnoteReference w:id="54"/>
      </w:r>
      <w:r w:rsidRPr="008879F3">
        <w:rPr>
          <w:rStyle w:val="Appelnotedebasdep"/>
        </w:rPr>
        <w:t>.</w:t>
      </w:r>
      <w:r>
        <w:t xml:space="preserve"> En d’autres termes, il ne suffit pas de localiser des petites entreprises sur une aire géographiquement déterminée pour que l’on puisse parler de territoire localisé. Il ne suffit pas non plus d’aider à l’installation de petites entreprises pour voir spontanément surgir un </w:t>
      </w:r>
      <w:r w:rsidRPr="008714C2">
        <w:rPr>
          <w:rStyle w:val="Accentuation"/>
        </w:rPr>
        <w:t>local</w:t>
      </w:r>
      <w:r>
        <w:t>, un territoire localisé cohérent. La dynamique des petites entreprises peut porter la dynamique locale, mais cette condition, nécessaire, n’est pas suffisante.</w:t>
      </w:r>
    </w:p>
    <w:p w:rsidR="00B67CF2" w:rsidRPr="008407FA" w:rsidRDefault="00B67CF2" w:rsidP="00A07AFC">
      <w:pPr>
        <w:pStyle w:val="Titre3"/>
      </w:pPr>
      <w:bookmarkStart w:id="55" w:name="_Toc336716616"/>
      <w:bookmarkStart w:id="56" w:name="_Toc398658431"/>
      <w:r w:rsidRPr="008407FA">
        <w:t>Les principes qui sous-tendent les objectifs de développement local</w:t>
      </w:r>
      <w:bookmarkEnd w:id="55"/>
      <w:bookmarkEnd w:id="56"/>
    </w:p>
    <w:p w:rsidR="00B67CF2" w:rsidRDefault="00B67CF2" w:rsidP="00A07AFC">
      <w:pPr>
        <w:pStyle w:val="Corpsdetexte"/>
      </w:pPr>
      <w:r>
        <w:t>« A la suite de ce que l’on pourrait qualifier de « mode de la petite entreprise », trop d’analyses ont tendu à accréditer la coïncidence entre ensembles de petites entreprises et développement localisé. Il n’existe aucun automatisme, ni aucune spontanéité dans la superposition des deux phénomènes »</w:t>
      </w:r>
      <w:r>
        <w:rPr>
          <w:rStyle w:val="Appelnotedebasdep"/>
          <w:sz w:val="22"/>
        </w:rPr>
        <w:footnoteReference w:id="55"/>
      </w:r>
      <w:r>
        <w:t>.</w:t>
      </w:r>
    </w:p>
    <w:p w:rsidR="00B67CF2" w:rsidRDefault="00B67CF2" w:rsidP="00A07AFC">
      <w:pPr>
        <w:pStyle w:val="Corpsdetexte"/>
      </w:pPr>
      <w:r>
        <w:t>Mais dans ces conditions, comment mettre en place les éléments d’une stratégie ayant pour objectif le développement global de la collectivité locale ?</w:t>
      </w:r>
    </w:p>
    <w:p w:rsidR="00F42EAB" w:rsidRDefault="00B67CF2" w:rsidP="00A07AFC">
      <w:pPr>
        <w:pStyle w:val="Corpsdetexte"/>
      </w:pPr>
      <w:r>
        <w:t xml:space="preserve">Sans doute en tenant pour vérité que le rôle de la personne est le facteur premier du progrès social et en misant sur la valorisation des micro-initiatives et des </w:t>
      </w:r>
      <w:r>
        <w:lastRenderedPageBreak/>
        <w:t>ressources locales, la stratégie de développement local s’appuiera alors sur trois principes fondamentaux :</w:t>
      </w:r>
    </w:p>
    <w:p w:rsidR="00F42EAB" w:rsidRDefault="00B67CF2" w:rsidP="008714C2">
      <w:pPr>
        <w:pStyle w:val="Listepuces"/>
        <w:tabs>
          <w:tab w:val="num" w:pos="1420"/>
        </w:tabs>
      </w:pPr>
      <w:r>
        <w:t>celui de considérer la personne comme la force motrice du développement.</w:t>
      </w:r>
    </w:p>
    <w:p w:rsidR="00B67CF2" w:rsidRDefault="00B67CF2" w:rsidP="008714C2">
      <w:pPr>
        <w:pStyle w:val="Listepuces"/>
        <w:tabs>
          <w:tab w:val="num" w:pos="1420"/>
        </w:tabs>
      </w:pPr>
      <w:r>
        <w:t>celui d’engager un processus global « car elle tend à associer le plus de partenaires possibles autour d’un projet commun de développement, dans une intervention simultanée et cohérente »</w:t>
      </w:r>
      <w:r>
        <w:rPr>
          <w:rStyle w:val="Appelnotedebasdep"/>
          <w:sz w:val="22"/>
        </w:rPr>
        <w:footnoteReference w:id="56"/>
      </w:r>
      <w:r>
        <w:t xml:space="preserve"> (en gardant à l’esprit que tout tissu d’entreprises est indissociable de son environnement d’appui et en priorité des pôles urbains dans la mesure où c’est là que se créent les richesses qui font défaut aux milieux ruraux). « La ville n’est plus seulement un lieu de consommation ou de dépense (conformément à la tradition des théories en économie spatiale) mais aussi un lieu de production. (...) Un solide diagnostic sur les dynamiques urbaines du développement territorial devrait être le préalable à toute prospective sur les politiques publiques en matière d’intervention économique »</w:t>
      </w:r>
      <w:r>
        <w:rPr>
          <w:rStyle w:val="Appelnotedebasdep"/>
          <w:sz w:val="22"/>
        </w:rPr>
        <w:footnoteReference w:id="57"/>
      </w:r>
      <w:r>
        <w:t xml:space="preserve"> .</w:t>
      </w:r>
    </w:p>
    <w:p w:rsidR="00B67CF2" w:rsidRPr="008714C2" w:rsidRDefault="00B67CF2" w:rsidP="008714C2">
      <w:pPr>
        <w:pStyle w:val="Listepuces"/>
        <w:tabs>
          <w:tab w:val="num" w:pos="1420"/>
        </w:tabs>
        <w:rPr>
          <w:rStyle w:val="Accentuation"/>
        </w:rPr>
      </w:pPr>
      <w:proofErr w:type="gramStart"/>
      <w:r>
        <w:t>et</w:t>
      </w:r>
      <w:proofErr w:type="gramEnd"/>
      <w:r>
        <w:t xml:space="preserve"> enfin, admettre, (mais </w:t>
      </w:r>
      <w:r w:rsidR="00C826F6">
        <w:t>est-ce</w:t>
      </w:r>
      <w:r>
        <w:t xml:space="preserve"> vraiment en contradiction avec ce qui précède ?) que le développement ne relève pas seulement des grands systèmes macro-économiques ni des institutions centralisées. Il est aussi largement lié aux micro-initiatives, aux petits projets, aux innovations </w:t>
      </w:r>
      <w:r w:rsidRPr="008714C2">
        <w:rPr>
          <w:rStyle w:val="Accentuation"/>
        </w:rPr>
        <w:t>à la marge.</w:t>
      </w:r>
    </w:p>
    <w:p w:rsidR="00B67CF2" w:rsidRDefault="00B67CF2" w:rsidP="002C7BAC">
      <w:pPr>
        <w:pStyle w:val="Titre2"/>
      </w:pPr>
      <w:bookmarkStart w:id="57" w:name="_Toc336716617"/>
      <w:bookmarkStart w:id="58" w:name="_Toc398658432"/>
      <w:r>
        <w:t>La compétitivité des petites entreprises ; une préoccupation centrale</w:t>
      </w:r>
      <w:bookmarkEnd w:id="57"/>
      <w:bookmarkEnd w:id="58"/>
    </w:p>
    <w:p w:rsidR="00B67CF2" w:rsidRDefault="00B67CF2" w:rsidP="00A07AFC">
      <w:pPr>
        <w:pStyle w:val="Corpsdetexte"/>
      </w:pPr>
      <w:r>
        <w:t>Les questions touchant à la compétitivité des entreprises sont souvent traitées à l’aune de l’organisation de la grande entreprise. « </w:t>
      </w:r>
      <w:r w:rsidRPr="008714C2">
        <w:rPr>
          <w:rStyle w:val="Accentuation"/>
        </w:rPr>
        <w:t>Or, cette approche est tout à fait insuffisante pour rendre compte de l’organisation industrielle appréhendée au niveau local</w:t>
      </w:r>
      <w:r>
        <w:t> »</w:t>
      </w:r>
      <w:r>
        <w:rPr>
          <w:rStyle w:val="Appelnotedebasdep"/>
          <w:sz w:val="22"/>
        </w:rPr>
        <w:footnoteReference w:id="58"/>
      </w:r>
      <w:r>
        <w:t>.</w:t>
      </w:r>
    </w:p>
    <w:p w:rsidR="00B67CF2" w:rsidRDefault="00B67CF2" w:rsidP="00A07AFC">
      <w:pPr>
        <w:pStyle w:val="Corpsdetexte"/>
      </w:pPr>
      <w:r>
        <w:t>Cinq caractéristiques s’appliquent plus précisément à la petite entreprise et expliquent, au moins en partie, sa compétitivité</w:t>
      </w:r>
      <w:r>
        <w:rPr>
          <w:rStyle w:val="Appelnotedebasdep"/>
          <w:sz w:val="22"/>
        </w:rPr>
        <w:footnoteReference w:id="59"/>
      </w:r>
      <w:r>
        <w:t> :</w:t>
      </w:r>
    </w:p>
    <w:p w:rsidR="00F42EAB" w:rsidRDefault="00B67CF2" w:rsidP="008714C2">
      <w:pPr>
        <w:pStyle w:val="Listepuces"/>
        <w:tabs>
          <w:tab w:val="num" w:pos="1420"/>
        </w:tabs>
      </w:pPr>
      <w:r>
        <w:lastRenderedPageBreak/>
        <w:t>le rôle du dirigeant (qui est la plupart du temps également propriétaire) ;</w:t>
      </w:r>
    </w:p>
    <w:p w:rsidR="00B67CF2" w:rsidRDefault="00B67CF2" w:rsidP="008714C2">
      <w:pPr>
        <w:pStyle w:val="Listepuces"/>
        <w:tabs>
          <w:tab w:val="num" w:pos="1420"/>
        </w:tabs>
      </w:pPr>
      <w:r>
        <w:t>la capacité d’obtention et d’utilisation de l’information scientifique et technique ;</w:t>
      </w:r>
    </w:p>
    <w:p w:rsidR="00B67CF2" w:rsidRDefault="00B67CF2" w:rsidP="008714C2">
      <w:pPr>
        <w:pStyle w:val="Listepuces"/>
        <w:tabs>
          <w:tab w:val="num" w:pos="1420"/>
        </w:tabs>
      </w:pPr>
      <w:r>
        <w:t>la qualité de l’organisation de l’entreprise ;</w:t>
      </w:r>
    </w:p>
    <w:p w:rsidR="00B67CF2" w:rsidRDefault="00B67CF2" w:rsidP="008714C2">
      <w:pPr>
        <w:pStyle w:val="Listepuces"/>
        <w:tabs>
          <w:tab w:val="num" w:pos="1420"/>
        </w:tabs>
      </w:pPr>
      <w:r>
        <w:t>l’investissement matériel fondé sur des technologies ;</w:t>
      </w:r>
    </w:p>
    <w:p w:rsidR="00B67CF2" w:rsidRDefault="00B67CF2" w:rsidP="008714C2">
      <w:pPr>
        <w:pStyle w:val="Listepuces"/>
        <w:tabs>
          <w:tab w:val="num" w:pos="1420"/>
        </w:tabs>
      </w:pPr>
      <w:r>
        <w:t>la flexibilité.</w:t>
      </w:r>
    </w:p>
    <w:p w:rsidR="00F42EAB" w:rsidRDefault="00B67CF2" w:rsidP="00A07AFC">
      <w:pPr>
        <w:pStyle w:val="Titre3"/>
      </w:pPr>
      <w:bookmarkStart w:id="59" w:name="_Toc336716618"/>
      <w:bookmarkStart w:id="60" w:name="_Toc398658433"/>
      <w:r w:rsidRPr="008407FA">
        <w:t>Le rôle essentiel du propriétaire-dirigeant</w:t>
      </w:r>
      <w:bookmarkEnd w:id="59"/>
      <w:bookmarkEnd w:id="60"/>
    </w:p>
    <w:p w:rsidR="00B67CF2" w:rsidRDefault="00B67CF2" w:rsidP="00A07AFC">
      <w:pPr>
        <w:pStyle w:val="Corpsdetexte"/>
      </w:pPr>
      <w:r>
        <w:t xml:space="preserve">La petite entreprise est essentiellement le lieu d’une gestion personnalisée, tenant à la très forte interdépendance entre l’entreprise et l’entrepreneur. Une des premières caractéristiques de la petite entreprise réside indéniablement dans la personnalité de son dirigeant, à tel point qu’on parle de </w:t>
      </w:r>
      <w:r w:rsidRPr="008714C2">
        <w:rPr>
          <w:rStyle w:val="Accentuation"/>
        </w:rPr>
        <w:t>personnalisation</w:t>
      </w:r>
      <w:r>
        <w:t xml:space="preserve"> de ce type d’entreprise. Les relations qui lient le dirigeant et une grande entreprise ou une multinationale, et celles qu’un l’entrepreneur individuel entretient avec </w:t>
      </w:r>
      <w:r w:rsidRPr="008714C2">
        <w:rPr>
          <w:rStyle w:val="Accentuation"/>
        </w:rPr>
        <w:t>son</w:t>
      </w:r>
      <w:r>
        <w:t xml:space="preserve"> entreprise ne sont à l’évidence pas de même nature. Dans le second cas, le caractère, les aptitudes et compétences de l’entrepreneur exercent on s’en doute une influence beaucoup plus décisive sur la vie même de l’entreprise.</w:t>
      </w:r>
    </w:p>
    <w:p w:rsidR="00F42EAB" w:rsidRDefault="00B67CF2" w:rsidP="00A07AFC">
      <w:pPr>
        <w:pStyle w:val="Titre3"/>
      </w:pPr>
      <w:bookmarkStart w:id="61" w:name="_Toc336716619"/>
      <w:bookmarkStart w:id="62" w:name="_Toc398658434"/>
      <w:r w:rsidRPr="008407FA">
        <w:t>Un enjeu essentiel : obtenir et utiliser l’information scientifique et technologique appropriée</w:t>
      </w:r>
      <w:bookmarkEnd w:id="61"/>
      <w:bookmarkEnd w:id="62"/>
    </w:p>
    <w:p w:rsidR="00B67CF2" w:rsidRDefault="00B67CF2" w:rsidP="00A07AFC">
      <w:pPr>
        <w:pStyle w:val="Corpsdetexte"/>
      </w:pPr>
      <w:r>
        <w:t>La petite entreprise se caractérise par un système d’information interne peu complexe, permettant une diffusion rapide et réciproque des informations entre direction et employés, ainsi que par un système d’information externe simple, essentiellement lié à la perception de son marché.</w:t>
      </w:r>
    </w:p>
    <w:p w:rsidR="00B67CF2" w:rsidRDefault="00B67CF2" w:rsidP="00A07AFC">
      <w:pPr>
        <w:pStyle w:val="Corpsdetexte"/>
      </w:pPr>
      <w:r>
        <w:t>Elle permet à l’entrepreneur de connaître les nouvelles technologies susceptibles d’intéresser son entreprise pour maintenir ou augmenter sa propre capacité concurrentielle par des innovations de produits, de procédés de fabrication et d’innovations de gestion ou de distribution. Ce système de veille simple s’applique également au suivi de l’évolution des marchés et de sa concurrence. Il repose en premier lieu sur une attitude réceptive de l’entrepreneur envers son environnement mais implique également une démarche active d’accès aux sources d’information. Cette recherche d’information peut être plus ou moins régulière mais elle implique en tout état de cause sélection, analyse et synthèse de l’information.</w:t>
      </w:r>
    </w:p>
    <w:p w:rsidR="00B67CF2" w:rsidRPr="008407FA" w:rsidRDefault="00B67CF2" w:rsidP="00A07AFC">
      <w:pPr>
        <w:pStyle w:val="Titre3"/>
      </w:pPr>
      <w:bookmarkStart w:id="63" w:name="_Toc336716620"/>
      <w:bookmarkStart w:id="64" w:name="_Toc398658435"/>
      <w:r w:rsidRPr="008407FA">
        <w:lastRenderedPageBreak/>
        <w:t>La qualité de l’organisation de la PME</w:t>
      </w:r>
      <w:bookmarkEnd w:id="63"/>
      <w:bookmarkEnd w:id="64"/>
    </w:p>
    <w:p w:rsidR="00F42EAB" w:rsidRDefault="00B67CF2" w:rsidP="00A07AFC">
      <w:pPr>
        <w:pStyle w:val="Corpsdetexte"/>
      </w:pPr>
      <w:r>
        <w:t>La possibilité de disposer d’une main-d’</w:t>
      </w:r>
      <w:r w:rsidR="00C826F6">
        <w:t xml:space="preserve">œuvre </w:t>
      </w:r>
      <w:r>
        <w:t>qualifiée constitue souvent une contrainte sévère pour un grand nombre de PME, et souligne l’importance de la formation du personnel à l’intérieur même de l’entreprise et du rôle que peut jouer dans les dynamiques de développement la présence à proximité d’une main d’</w:t>
      </w:r>
      <w:r w:rsidR="00C826F6">
        <w:t xml:space="preserve">œuvre </w:t>
      </w:r>
      <w:r>
        <w:t>qualifiée.</w:t>
      </w:r>
    </w:p>
    <w:p w:rsidR="00B67CF2" w:rsidRPr="008407FA" w:rsidRDefault="00A07AFC" w:rsidP="00A07AFC">
      <w:pPr>
        <w:pStyle w:val="Titre3"/>
      </w:pPr>
      <w:bookmarkStart w:id="65" w:name="_Toc336716621"/>
      <w:r>
        <w:br w:type="page"/>
      </w:r>
      <w:bookmarkStart w:id="66" w:name="_Toc398658436"/>
      <w:r w:rsidR="00B67CF2" w:rsidRPr="008407FA">
        <w:lastRenderedPageBreak/>
        <w:t>L’investissement matériel</w:t>
      </w:r>
      <w:bookmarkEnd w:id="65"/>
      <w:bookmarkEnd w:id="66"/>
    </w:p>
    <w:p w:rsidR="00B67CF2" w:rsidRDefault="00B67CF2" w:rsidP="00A07AFC">
      <w:pPr>
        <w:pStyle w:val="Corpsdetexte"/>
      </w:pPr>
      <w:r>
        <w:t>A ce propos il faut remarquer que la performance technologique n’est pas nécessairement un gage de compétitivité en ce qui concerne la petite entreprise. « </w:t>
      </w:r>
      <w:r w:rsidRPr="008714C2">
        <w:rPr>
          <w:rStyle w:val="Accentuation"/>
        </w:rPr>
        <w:t>Il n’est pas sûr en effet que l’avantage compétitif de l’entreprise repose sur la maîtrise de cette technologie ; cet avantage même peut reposer sur d’autres savoir-faire, et nous avons vu trop de PME mourir de l’inoculation de technologies mal maîtrisées, même si nous en avons vu disparaître du fait des technologies dépassées</w:t>
      </w:r>
      <w:r>
        <w:t> »</w:t>
      </w:r>
      <w:r>
        <w:rPr>
          <w:rStyle w:val="Appelnotedebasdep"/>
          <w:sz w:val="22"/>
        </w:rPr>
        <w:footnoteReference w:id="60"/>
      </w:r>
      <w:r>
        <w:t>.</w:t>
      </w:r>
    </w:p>
    <w:p w:rsidR="00B67CF2" w:rsidRDefault="00B67CF2" w:rsidP="00A07AFC">
      <w:pPr>
        <w:pStyle w:val="Corpsdetexte"/>
      </w:pPr>
      <w:r>
        <w:t xml:space="preserve">Selon M. </w:t>
      </w:r>
      <w:proofErr w:type="spellStart"/>
      <w:r>
        <w:t>Marchesnay</w:t>
      </w:r>
      <w:proofErr w:type="spellEnd"/>
      <w:r>
        <w:t>, l’argument précédent permet en fait de faire ressortir les conditions préalables de la compétitivité. Celle-ci exige, en effet une organisation appropriée de l’entreprise et une gestion efficace des hommes.</w:t>
      </w:r>
    </w:p>
    <w:p w:rsidR="00F42EAB" w:rsidRDefault="00B67CF2" w:rsidP="00A07AFC">
      <w:pPr>
        <w:pStyle w:val="Titre3"/>
      </w:pPr>
      <w:bookmarkStart w:id="67" w:name="_Toc336716622"/>
      <w:bookmarkStart w:id="68" w:name="_Toc398658437"/>
      <w:r w:rsidRPr="008407FA">
        <w:t>La flexibilité</w:t>
      </w:r>
      <w:bookmarkEnd w:id="67"/>
      <w:bookmarkEnd w:id="68"/>
    </w:p>
    <w:p w:rsidR="00B67CF2" w:rsidRDefault="00B67CF2" w:rsidP="00A07AFC">
      <w:pPr>
        <w:pStyle w:val="Corpsdetexte"/>
      </w:pPr>
      <w:r>
        <w:t>La flexibilité permet aux petites entreprises de compenser les avantages des grandes entreprises liés aux économies d’échelles. Une faible spécialisation du travail donne à l’entreprise une flexibilité permettant l’adaptation rapide aux changements. Mais dans la majorité des cas elle recherche un environnement stable, car elle n’a que peu de poids sur son environnement, ce qui génère le plus souvent une stratégie de réaction face aux changements plus qu’anticipation des dynamiques d’évolution.</w:t>
      </w:r>
    </w:p>
    <w:p w:rsidR="00F42EAB" w:rsidRDefault="00B67CF2" w:rsidP="00A07AFC">
      <w:pPr>
        <w:pStyle w:val="Corpsdetexte"/>
      </w:pPr>
      <w:r w:rsidRPr="00A07AFC">
        <w:rPr>
          <w:rStyle w:val="ListepucesCar"/>
        </w:rPr>
        <w:t>En résumé</w:t>
      </w:r>
      <w:r w:rsidR="00A07AFC">
        <w:t>. O</w:t>
      </w:r>
      <w:r>
        <w:t>n peut poser pour certain que tous les éléments de la compétitivité de la petite entreprise sont liés et relèvent :</w:t>
      </w:r>
    </w:p>
    <w:p w:rsidR="00B67CF2" w:rsidRDefault="00B67CF2" w:rsidP="008714C2">
      <w:pPr>
        <w:pStyle w:val="Listepuces"/>
        <w:tabs>
          <w:tab w:val="num" w:pos="1420"/>
        </w:tabs>
      </w:pPr>
      <w:r>
        <w:t>des acteurs ;</w:t>
      </w:r>
    </w:p>
    <w:p w:rsidR="00F42EAB" w:rsidRDefault="00B67CF2" w:rsidP="008714C2">
      <w:pPr>
        <w:pStyle w:val="Listepuces"/>
        <w:tabs>
          <w:tab w:val="num" w:pos="1420"/>
        </w:tabs>
      </w:pPr>
      <w:r>
        <w:t>de l’investissement immatériel, une capacité d’obtention de l’information, grâce à une veille technologique, commerciale et concurrentielle plus ou moins explicite mais réelle, la qualité de l’organisation de l’entreprise ; la formation des ressources humaines ;</w:t>
      </w:r>
    </w:p>
    <w:p w:rsidR="00F42EAB" w:rsidRDefault="00B67CF2" w:rsidP="008714C2">
      <w:pPr>
        <w:pStyle w:val="Listepuces"/>
        <w:tabs>
          <w:tab w:val="num" w:pos="1420"/>
        </w:tabs>
      </w:pPr>
      <w:r>
        <w:t>de l’investissement matériel ;</w:t>
      </w:r>
    </w:p>
    <w:p w:rsidR="00B67CF2" w:rsidRDefault="00B67CF2" w:rsidP="008714C2">
      <w:pPr>
        <w:pStyle w:val="Listepuces"/>
        <w:tabs>
          <w:tab w:val="num" w:pos="1420"/>
        </w:tabs>
      </w:pPr>
      <w:r>
        <w:t>de ses capacités stratégiques ; d’innovation et de flexibilité (elle-même fonction des variables précédentes) ;</w:t>
      </w:r>
    </w:p>
    <w:p w:rsidR="00B67CF2" w:rsidRDefault="00B67CF2" w:rsidP="008714C2">
      <w:pPr>
        <w:pStyle w:val="Listepuces"/>
        <w:tabs>
          <w:tab w:val="num" w:pos="1420"/>
        </w:tabs>
      </w:pPr>
      <w:proofErr w:type="gramStart"/>
      <w:r>
        <w:lastRenderedPageBreak/>
        <w:t>et</w:t>
      </w:r>
      <w:proofErr w:type="gramEnd"/>
      <w:r>
        <w:t>, en dernier lieu (et bien que l’entreprise ait peu d’influence sur celui-ci) de son environnement socio-économique, qui est perçu tour à tour comme avantage compétitif (la proximité des ressources), intérêt personnel (la qualité de vie) ou contrainte sociale (absence de main d’</w:t>
      </w:r>
      <w:r w:rsidR="00C826F6">
        <w:t xml:space="preserve">œuvre </w:t>
      </w:r>
      <w:r>
        <w:t>qualifiée), voire humaine (que représente l’apathie des acteurs locaux aux yeux d’un chef d’entreprise qui souhaite innover ?).</w:t>
      </w:r>
    </w:p>
    <w:p w:rsidR="00B67CF2" w:rsidRPr="008C3C54" w:rsidRDefault="00B67CF2" w:rsidP="002C7BAC">
      <w:pPr>
        <w:pStyle w:val="Titre2"/>
      </w:pPr>
      <w:bookmarkStart w:id="69" w:name="_Toc333377558"/>
      <w:bookmarkStart w:id="70" w:name="_Toc336716623"/>
      <w:bookmarkStart w:id="71" w:name="_Toc398658438"/>
      <w:bookmarkStart w:id="72" w:name="_Toc333377557"/>
      <w:r w:rsidRPr="008C3C54">
        <w:t xml:space="preserve">Les </w:t>
      </w:r>
      <w:bookmarkEnd w:id="69"/>
      <w:r w:rsidRPr="008C3C54">
        <w:t>tissus d’entreprises</w:t>
      </w:r>
      <w:r>
        <w:rPr>
          <w:rStyle w:val="Appelnotedebasdep"/>
          <w:sz w:val="22"/>
        </w:rPr>
        <w:footnoteReference w:id="61"/>
      </w:r>
      <w:r w:rsidRPr="008C3C54">
        <w:t>, du district au système</w:t>
      </w:r>
      <w:bookmarkEnd w:id="70"/>
      <w:bookmarkEnd w:id="71"/>
    </w:p>
    <w:p w:rsidR="00B67CF2" w:rsidRPr="008407FA" w:rsidRDefault="00B67CF2" w:rsidP="00A07AFC">
      <w:pPr>
        <w:pStyle w:val="Titre3"/>
      </w:pPr>
      <w:bookmarkStart w:id="73" w:name="_Toc336716624"/>
      <w:bookmarkStart w:id="74" w:name="_Toc398658439"/>
      <w:r w:rsidRPr="008407FA">
        <w:t>Trajectoire historique du concept</w:t>
      </w:r>
      <w:bookmarkEnd w:id="73"/>
      <w:bookmarkEnd w:id="74"/>
    </w:p>
    <w:p w:rsidR="00F42EAB" w:rsidRDefault="00B67CF2" w:rsidP="00A07AFC">
      <w:pPr>
        <w:pStyle w:val="Corpsdetexte"/>
      </w:pPr>
      <w:r>
        <w:t xml:space="preserve">Les premières analyses (1900) portant sur le district d’entreprises désignent à l’origine une des deux formes d’organisation industrielle envisagées par Marshall (1842-1924) : la coordination par le marché et par le face-à-face (la réciprocité). Le </w:t>
      </w:r>
      <w:r w:rsidRPr="008714C2">
        <w:rPr>
          <w:rStyle w:val="Accentuation"/>
        </w:rPr>
        <w:t>district industriel</w:t>
      </w:r>
      <w:r>
        <w:t xml:space="preserve"> décrit en 1900 Marshall repose sur une coordination, par le marché et par une réciprocité fondée sur la proximité géographique, d‘une division sociale du travail.</w:t>
      </w:r>
    </w:p>
    <w:p w:rsidR="00B67CF2" w:rsidRDefault="00B67CF2" w:rsidP="00A07AFC">
      <w:pPr>
        <w:pStyle w:val="Corpsdetexte"/>
      </w:pPr>
      <w:r>
        <w:t xml:space="preserve">Dans les années soixante-dix, la notion de district industriel a été réactualisé par </w:t>
      </w:r>
      <w:proofErr w:type="spellStart"/>
      <w:r>
        <w:t>Becattini</w:t>
      </w:r>
      <w:proofErr w:type="spellEnd"/>
      <w:r>
        <w:t xml:space="preserve"> dans l’analyse des</w:t>
      </w:r>
      <w:r w:rsidRPr="008714C2">
        <w:rPr>
          <w:rStyle w:val="Accentuation"/>
        </w:rPr>
        <w:t xml:space="preserve"> systèmes de production locaux</w:t>
      </w:r>
      <w:r>
        <w:t xml:space="preserve"> pour désigner une entité socio-territoriale rassemblant un certain nombre de caractéristiques :</w:t>
      </w:r>
    </w:p>
    <w:p w:rsidR="00B67CF2" w:rsidRDefault="00B67CF2" w:rsidP="008714C2">
      <w:pPr>
        <w:pStyle w:val="Listepuces"/>
        <w:tabs>
          <w:tab w:val="num" w:pos="1420"/>
        </w:tabs>
      </w:pPr>
      <w:r>
        <w:t>l’existence d’une large gamme de PME spécialisées et organisées autour d’une industrie dominante ;</w:t>
      </w:r>
    </w:p>
    <w:p w:rsidR="00B67CF2" w:rsidRDefault="00B67CF2" w:rsidP="008714C2">
      <w:pPr>
        <w:pStyle w:val="Listepuces"/>
        <w:tabs>
          <w:tab w:val="num" w:pos="1420"/>
        </w:tabs>
      </w:pPr>
      <w:r>
        <w:t>le partage de valeurs et d’une culture commune entre la société locale et les entreprises ;</w:t>
      </w:r>
    </w:p>
    <w:p w:rsidR="00B67CF2" w:rsidRDefault="00B67CF2" w:rsidP="008714C2">
      <w:pPr>
        <w:pStyle w:val="Listepuces"/>
        <w:tabs>
          <w:tab w:val="num" w:pos="1420"/>
        </w:tabs>
      </w:pPr>
      <w:r>
        <w:t>un mélange de concurrence-émulation-coopération ;</w:t>
      </w:r>
    </w:p>
    <w:p w:rsidR="00B67CF2" w:rsidRDefault="00B67CF2" w:rsidP="008714C2">
      <w:pPr>
        <w:pStyle w:val="Listepuces"/>
        <w:tabs>
          <w:tab w:val="num" w:pos="1420"/>
        </w:tabs>
      </w:pPr>
      <w:r>
        <w:t xml:space="preserve">une </w:t>
      </w:r>
      <w:r w:rsidRPr="008714C2">
        <w:rPr>
          <w:rStyle w:val="Accentuation"/>
        </w:rPr>
        <w:t>atmosphère industrielle</w:t>
      </w:r>
      <w:r>
        <w:t xml:space="preserve"> résultant de la formation et de l’accumulation de compétences.</w:t>
      </w:r>
    </w:p>
    <w:p w:rsidR="00B67CF2" w:rsidRDefault="00B67CF2" w:rsidP="00A07AFC">
      <w:pPr>
        <w:pStyle w:val="Corpsdetexte"/>
      </w:pPr>
      <w:r>
        <w:lastRenderedPageBreak/>
        <w:t xml:space="preserve">Dans les années quatre-vingts, </w:t>
      </w:r>
      <w:proofErr w:type="spellStart"/>
      <w:r>
        <w:t>Piore</w:t>
      </w:r>
      <w:proofErr w:type="spellEnd"/>
      <w:r>
        <w:t xml:space="preserve"> et </w:t>
      </w:r>
      <w:proofErr w:type="spellStart"/>
      <w:r>
        <w:t>Sabel</w:t>
      </w:r>
      <w:proofErr w:type="spellEnd"/>
      <w:r>
        <w:t xml:space="preserve"> ont interprété les succès des districts industriels comme un cas particulier d’une tendance plus générale. A la production de masse fordiste allait succéder un régime fondé sur la </w:t>
      </w:r>
      <w:r w:rsidRPr="008714C2">
        <w:rPr>
          <w:rStyle w:val="Accentuation"/>
        </w:rPr>
        <w:t>spécialisation flexible</w:t>
      </w:r>
      <w:r>
        <w:t>, dont la forme spatiale serait le district.</w:t>
      </w:r>
    </w:p>
    <w:p w:rsidR="00B67CF2" w:rsidRDefault="00B67CF2" w:rsidP="00A07AFC">
      <w:pPr>
        <w:pStyle w:val="Corpsdetexte"/>
      </w:pPr>
      <w:r>
        <w:t xml:space="preserve">En 1990 </w:t>
      </w:r>
      <w:proofErr w:type="spellStart"/>
      <w:r>
        <w:t>Storper</w:t>
      </w:r>
      <w:proofErr w:type="spellEnd"/>
      <w:r>
        <w:t xml:space="preserve"> et Walker proposent un modèle d’émergence des pôles de croissance (comme la </w:t>
      </w:r>
      <w:proofErr w:type="spellStart"/>
      <w:r>
        <w:t>Silicon</w:t>
      </w:r>
      <w:proofErr w:type="spellEnd"/>
      <w:r>
        <w:t xml:space="preserve"> </w:t>
      </w:r>
      <w:proofErr w:type="spellStart"/>
      <w:r>
        <w:t>Valley</w:t>
      </w:r>
      <w:proofErr w:type="spellEnd"/>
      <w:r>
        <w:t xml:space="preserve"> en Californie), l’agglomération de firmes en un même lieu minimisant les </w:t>
      </w:r>
      <w:r w:rsidRPr="008714C2">
        <w:rPr>
          <w:rStyle w:val="Accentuation"/>
        </w:rPr>
        <w:t>coûts de transaction</w:t>
      </w:r>
      <w:r>
        <w:t>.</w:t>
      </w:r>
    </w:p>
    <w:p w:rsidR="00B67CF2" w:rsidRPr="008714C2" w:rsidRDefault="00B67CF2" w:rsidP="00A07AFC">
      <w:pPr>
        <w:pStyle w:val="Corpsdetexte"/>
        <w:rPr>
          <w:rStyle w:val="Accentuation"/>
        </w:rPr>
      </w:pPr>
      <w:r>
        <w:t xml:space="preserve">D’autres considèrent le territoire lui-même comme « </w:t>
      </w:r>
      <w:r w:rsidRPr="008714C2">
        <w:rPr>
          <w:rStyle w:val="Accentuation"/>
        </w:rPr>
        <w:t>milieu innovateur</w:t>
      </w:r>
      <w:r>
        <w:t xml:space="preserve"> »</w:t>
      </w:r>
      <w:r>
        <w:rPr>
          <w:rStyle w:val="Appelnotedebasdep"/>
          <w:sz w:val="22"/>
        </w:rPr>
        <w:footnoteReference w:id="62"/>
      </w:r>
      <w:r>
        <w:t xml:space="preserve"> ; cette approche qui vise à déterminer les conditions extérieures nécessaires à l’adoption de l’innovation, souligne le rôle essentiel de la </w:t>
      </w:r>
      <w:r w:rsidRPr="008714C2">
        <w:rPr>
          <w:rStyle w:val="Accentuation"/>
        </w:rPr>
        <w:t>composante territoriale</w:t>
      </w:r>
      <w:r>
        <w:t xml:space="preserve"> dans les processus de création de nouvelles ressources. Le territoire n’est plus considéré comme un simple support de facteurs de localisation (main-d’</w:t>
      </w:r>
      <w:r w:rsidR="00C826F6">
        <w:t xml:space="preserve">œuvre </w:t>
      </w:r>
      <w:r>
        <w:t>qualifiée, centres de recherche, voies de communication, aéroport...), mais comme un ensemble d’agents économiques, socioculturels, politiques, institutionnels possédant des modes d’organisations et de régulations spécifiques.</w:t>
      </w:r>
    </w:p>
    <w:p w:rsidR="00B67CF2" w:rsidRPr="008407FA" w:rsidRDefault="00B67CF2" w:rsidP="00A07AFC">
      <w:pPr>
        <w:pStyle w:val="Titre3"/>
      </w:pPr>
      <w:bookmarkStart w:id="75" w:name="_Toc336716625"/>
      <w:bookmarkStart w:id="76" w:name="_Toc398658440"/>
      <w:r w:rsidRPr="008407FA">
        <w:t>Caractéristiques générales des systèmes industriels localisés</w:t>
      </w:r>
      <w:bookmarkEnd w:id="75"/>
      <w:bookmarkEnd w:id="76"/>
    </w:p>
    <w:p w:rsidR="00F42EAB" w:rsidRDefault="00B67CF2" w:rsidP="00A07AFC">
      <w:pPr>
        <w:pStyle w:val="Corpsdetexte"/>
      </w:pPr>
      <w:r>
        <w:t>« Le système industriel localisé peut se définir comme une configuration d’entreprises regroupées dans un espace de proximité autour d’un métier voire de plusieurs métiers industriels. Les entreprises entretiennent des relations entre elles et avec le milieu socioculturel d’insertion. Ces relations ne sont pas seulement marchandes, elles sont aussi informelles et produisent des externalités positives pour l’ensemble des entreprises »</w:t>
      </w:r>
      <w:r w:rsidRPr="008407FA">
        <w:rPr>
          <w:rStyle w:val="Appelnotedebasdep"/>
          <w:i/>
          <w:iCs/>
          <w:sz w:val="22"/>
        </w:rPr>
        <w:footnoteReference w:id="63"/>
      </w:r>
      <w:r>
        <w:t>.</w:t>
      </w:r>
    </w:p>
    <w:p w:rsidR="00B67CF2" w:rsidRDefault="00B67CF2" w:rsidP="00A07AFC">
      <w:pPr>
        <w:pStyle w:val="Corpsdetexte"/>
      </w:pPr>
      <w:r>
        <w:t xml:space="preserve">Quelques années plus tard </w:t>
      </w:r>
      <w:proofErr w:type="spellStart"/>
      <w:r>
        <w:t>Courlet</w:t>
      </w:r>
      <w:proofErr w:type="spellEnd"/>
      <w:r>
        <w:t xml:space="preserve"> (1994) précise que « le système industriel localisé peut être considéré tout d’abord comme un lieu de coordination des activités industrielles, de conventions entre individus, entre entreprises et de constitution de liens entre groupes sociaux ; le système industriel localisé peut être considéré ensuite comme un lieu de création et de diffusion de l’innovation, de création des ressources et des avantages spécifiques qui sont au </w:t>
      </w:r>
      <w:proofErr w:type="spellStart"/>
      <w:r>
        <w:t>coeur</w:t>
      </w:r>
      <w:proofErr w:type="spellEnd"/>
      <w:r>
        <w:t xml:space="preserve"> de la dynamique économique ; enfin, le système industriel localisé peut être une unité </w:t>
      </w:r>
      <w:r>
        <w:lastRenderedPageBreak/>
        <w:t>de décision politique qui permet une intervention dans la localisation, la création et la répartition des ressources ».</w:t>
      </w:r>
    </w:p>
    <w:p w:rsidR="00F42EAB" w:rsidRDefault="00B67CF2" w:rsidP="00A07AFC">
      <w:pPr>
        <w:pStyle w:val="Corpsdetexte"/>
      </w:pPr>
      <w:r>
        <w:t>Dans cette optique nous pouvons succinctement définir ces systèmes à partir des caractéristiques suivantes :</w:t>
      </w:r>
    </w:p>
    <w:p w:rsidR="00F42EAB" w:rsidRDefault="00B67CF2" w:rsidP="008714C2">
      <w:pPr>
        <w:pStyle w:val="Listepuces"/>
        <w:tabs>
          <w:tab w:val="num" w:pos="1420"/>
        </w:tabs>
      </w:pPr>
      <w:r>
        <w:t>une spécialisation des productions autour de produits centraux pour l’économie de la zone concernée ;</w:t>
      </w:r>
    </w:p>
    <w:p w:rsidR="00B67CF2" w:rsidRDefault="00B67CF2" w:rsidP="008714C2">
      <w:pPr>
        <w:pStyle w:val="Listepuces"/>
        <w:tabs>
          <w:tab w:val="num" w:pos="1420"/>
        </w:tabs>
      </w:pPr>
      <w:r>
        <w:t>l’existence d’un grand nombre</w:t>
      </w:r>
      <w:r>
        <w:rPr>
          <w:rStyle w:val="Appelnotedebasdep"/>
          <w:sz w:val="22"/>
        </w:rPr>
        <w:footnoteReference w:id="64"/>
      </w:r>
      <w:r>
        <w:t xml:space="preserve"> de petites entreprises mais pas de grandes entreprises leader. La dynamique productive n’est donc pas le fruit d’un phénomène de polarisation ;</w:t>
      </w:r>
    </w:p>
    <w:p w:rsidR="00B67CF2" w:rsidRDefault="00B67CF2" w:rsidP="008714C2">
      <w:pPr>
        <w:pStyle w:val="Listepuces"/>
        <w:tabs>
          <w:tab w:val="num" w:pos="1420"/>
        </w:tabs>
      </w:pPr>
      <w:r>
        <w:t>un système d’interdépendance entre entreprises locales reposant sur une division des phases productives entre des entreprises autonomes, mais également des relations de services mutuels associées à une circulation très denses de l’information ;</w:t>
      </w:r>
    </w:p>
    <w:p w:rsidR="00F42EAB" w:rsidRDefault="00B67CF2" w:rsidP="008714C2">
      <w:pPr>
        <w:pStyle w:val="Listepuces"/>
        <w:tabs>
          <w:tab w:val="num" w:pos="1420"/>
        </w:tabs>
      </w:pPr>
      <w:r>
        <w:t>l’existence d’une pluralité d’acteurs engagés dans un processus commun de dynamisation de l’activité économique locale ;</w:t>
      </w:r>
    </w:p>
    <w:p w:rsidR="00B67CF2" w:rsidRDefault="00B67CF2" w:rsidP="008714C2">
      <w:pPr>
        <w:pStyle w:val="Listepuces"/>
        <w:tabs>
          <w:tab w:val="num" w:pos="1420"/>
        </w:tabs>
      </w:pPr>
      <w:proofErr w:type="gramStart"/>
      <w:r>
        <w:t>le</w:t>
      </w:r>
      <w:proofErr w:type="gramEnd"/>
      <w:r>
        <w:t xml:space="preserve"> rôle crucial que joue dans ce processus de développement les facteurs culturels et politiques ;</w:t>
      </w:r>
    </w:p>
    <w:p w:rsidR="00F42EAB" w:rsidRDefault="00B67CF2" w:rsidP="008714C2">
      <w:pPr>
        <w:pStyle w:val="Listepuces"/>
        <w:tabs>
          <w:tab w:val="num" w:pos="1420"/>
        </w:tabs>
      </w:pPr>
      <w:r>
        <w:t>une implantation diffuse dans des zones qui ont conservé une forte densité de population active et au maillage urbain plutôt dense ;</w:t>
      </w:r>
    </w:p>
    <w:p w:rsidR="00B67CF2" w:rsidRDefault="00B67CF2" w:rsidP="008714C2">
      <w:pPr>
        <w:pStyle w:val="Listepuces"/>
        <w:tabs>
          <w:tab w:val="num" w:pos="1420"/>
        </w:tabs>
      </w:pPr>
      <w:r>
        <w:t>les secteurs représentés, les technologies employées et les types de produits sont compatibles avec la petite dimension des entreprises. En général, les productions font appel à des savoir-faire artisanaux locaux historiquement implantés, bien que la technologie de pointe puisse constituer une spécialisation ultérieure du système productif.</w:t>
      </w:r>
    </w:p>
    <w:p w:rsidR="00B67CF2" w:rsidRDefault="00B67CF2" w:rsidP="00A07AFC">
      <w:pPr>
        <w:pStyle w:val="Corpsdetexte"/>
      </w:pPr>
      <w:r>
        <w:t>Le district industriel est donc l’expression à travers une construction historique, d’une capacité productive, qui trouve son dynamisme dans la communauté d’intérêts entre acteurs spatialement (mais pas seulement) proches, « </w:t>
      </w:r>
      <w:r w:rsidRPr="008714C2">
        <w:rPr>
          <w:rStyle w:val="Accentuation"/>
        </w:rPr>
        <w:t>ce qu’exprime l’idée assez intuitive que « l’histoire compte</w:t>
      </w:r>
      <w:r>
        <w:t>. (...)</w:t>
      </w:r>
      <w:r w:rsidRPr="008714C2">
        <w:rPr>
          <w:rStyle w:val="Accentuation"/>
        </w:rPr>
        <w:t xml:space="preserve"> Un système économique quel qu’il soit, que l’on raisonne au niveau d’une firme ou d’un </w:t>
      </w:r>
      <w:r w:rsidRPr="008714C2">
        <w:rPr>
          <w:rStyle w:val="Accentuation"/>
        </w:rPr>
        <w:lastRenderedPageBreak/>
        <w:t>ensemble plus vaste, a une histoire qui lui confère une impossibilité de « se débarrasser » de l’influence des états et trajectoires passés</w:t>
      </w:r>
      <w:r>
        <w:t> »</w:t>
      </w:r>
      <w:r>
        <w:rPr>
          <w:rStyle w:val="Appelnotedebasdep"/>
          <w:sz w:val="22"/>
        </w:rPr>
        <w:footnoteReference w:id="65"/>
      </w:r>
      <w:r>
        <w:t>.</w:t>
      </w:r>
    </w:p>
    <w:p w:rsidR="00B67CF2" w:rsidRDefault="00B67CF2" w:rsidP="00A07AFC">
      <w:pPr>
        <w:pStyle w:val="Corpsdetexte"/>
      </w:pPr>
      <w:r>
        <w:t>De cette trajectoire historique, le district industriel garde un contenu sectoriel fortement marqué. Néanmoins, cette forte spécialisation ne réduit pas pour autant le district à un ensemble homogène. Au cours de son évolution se développe, à partir de l’activité dominante, toute une gamme d’activités complémentaires. Ces dernières forment la base de réseaux de relations, qui, dépassant le cadre strict des relations purement professionnelles, se déploient également dans l’espace de proximité</w:t>
      </w:r>
      <w:r>
        <w:rPr>
          <w:rStyle w:val="Appelnotedebasdep"/>
          <w:sz w:val="22"/>
        </w:rPr>
        <w:footnoteReference w:id="66"/>
      </w:r>
      <w:r>
        <w:t>.</w:t>
      </w:r>
    </w:p>
    <w:p w:rsidR="00B67CF2" w:rsidRDefault="00B67CF2" w:rsidP="00A07AFC">
      <w:pPr>
        <w:pStyle w:val="Corpsdetexte"/>
      </w:pPr>
      <w:r>
        <w:t xml:space="preserve">Ainsi se dessine à l’intérieur du territoire local un enchevêtrement complexe de liens formels et informels, de relations interentreprises marchandes et </w:t>
      </w:r>
      <w:proofErr w:type="spellStart"/>
      <w:r>
        <w:t>non-marchandes</w:t>
      </w:r>
      <w:proofErr w:type="spellEnd"/>
      <w:r>
        <w:t xml:space="preserve"> qui peuvent associer différentes phases d’un même processus productif, les mêmes phases d’un processus de production particulier ou des activités de services complémentaires aux industries du district.</w:t>
      </w:r>
    </w:p>
    <w:p w:rsidR="00F42EAB" w:rsidRDefault="00B67CF2" w:rsidP="00A07AFC">
      <w:pPr>
        <w:pStyle w:val="Corpsdetexte"/>
      </w:pPr>
      <w:r>
        <w:t>La première caractéristique de la compétitivité de ces groupes de petites entreprises repose donc sur un effet d’agglomération</w:t>
      </w:r>
      <w:r>
        <w:rPr>
          <w:rStyle w:val="Appelnotedebasdep"/>
          <w:sz w:val="22"/>
        </w:rPr>
        <w:footnoteReference w:id="67"/>
      </w:r>
      <w:r>
        <w:t xml:space="preserve">. En fait, certains agents locaux ont au cours de la multiplication des interactions, découvert la similarité de leurs activités et la convergence de leurs intérêts. Le fait que différentes entreprises rencontrent des enjeux communs contribue à la création de coopérations locales, permettant progressivement de passer d’un ensemble d’unités productives séparées, non pas à un groupement d’entreprise coordonnant leurs actions pour atteindre un même but productif (ce qui se rapprocherait de l’organisation </w:t>
      </w:r>
      <w:r w:rsidRPr="008714C2">
        <w:rPr>
          <w:rStyle w:val="Accentuation"/>
        </w:rPr>
        <w:t>éclatée</w:t>
      </w:r>
      <w:r>
        <w:t xml:space="preserve"> d’une grande entreprise) mais plutôt à un </w:t>
      </w:r>
      <w:r w:rsidRPr="008714C2">
        <w:rPr>
          <w:rStyle w:val="Accentuation"/>
        </w:rPr>
        <w:t>agrégat</w:t>
      </w:r>
      <w:r>
        <w:t xml:space="preserve"> de compétences permettant de faire face plus efficacement aux aléas d’un environnement turbulent.</w:t>
      </w:r>
    </w:p>
    <w:p w:rsidR="00B67CF2" w:rsidRDefault="00B67CF2" w:rsidP="00A07AFC">
      <w:pPr>
        <w:pStyle w:val="Corpsdetexte"/>
      </w:pPr>
      <w:r>
        <w:lastRenderedPageBreak/>
        <w:t>Différents auteurs s’accordent pour reconnaître que les comportements innovateurs de ces systèmes productifs résident dans les pratiques locales d’interaction, favorisant les apprentissages, les échanges d’informations et l’entraide. « </w:t>
      </w:r>
      <w:r w:rsidRPr="008714C2">
        <w:rPr>
          <w:rStyle w:val="Accentuation"/>
        </w:rPr>
        <w:t xml:space="preserve">Ces comportements apparaissent en fait comme le résultat de stratégies développées par quelques entreprises localisées sur le site. Les processus d’apprentissage mis en </w:t>
      </w:r>
      <w:r w:rsidR="00C826F6">
        <w:rPr>
          <w:rStyle w:val="Accentuation"/>
        </w:rPr>
        <w:t xml:space="preserve">œuvre </w:t>
      </w:r>
      <w:r w:rsidRPr="008714C2">
        <w:rPr>
          <w:rStyle w:val="Accentuation"/>
        </w:rPr>
        <w:t>sont fondés sur le caractère complémentaire des actifs spécifiques (compétences et équipements) détenus par les agents locaux</w:t>
      </w:r>
      <w:r>
        <w:t> »</w:t>
      </w:r>
      <w:r>
        <w:rPr>
          <w:rStyle w:val="Appelnotedebasdep"/>
          <w:sz w:val="22"/>
        </w:rPr>
        <w:footnoteReference w:id="68"/>
      </w:r>
      <w:r>
        <w:t xml:space="preserve"> .</w:t>
      </w:r>
    </w:p>
    <w:p w:rsidR="00B67CF2" w:rsidRPr="008407FA" w:rsidRDefault="00B67CF2" w:rsidP="00A07AFC">
      <w:pPr>
        <w:pStyle w:val="Titre3"/>
      </w:pPr>
      <w:bookmarkStart w:id="77" w:name="_Toc336716626"/>
      <w:bookmarkStart w:id="78" w:name="_Toc398658441"/>
      <w:r w:rsidRPr="008407FA">
        <w:t>Les systèmes productifs locaux dans un processus de développement</w:t>
      </w:r>
      <w:bookmarkEnd w:id="77"/>
      <w:bookmarkEnd w:id="78"/>
    </w:p>
    <w:p w:rsidR="00B67CF2" w:rsidRDefault="00B67CF2" w:rsidP="00A07AFC">
      <w:pPr>
        <w:pStyle w:val="Corpsdetexte"/>
      </w:pPr>
      <w:r>
        <w:t>Les différents éléments qui peuvent jouer dans les processus de développement économique, selon Pecqueur (1993), peuvent se regrouper sous trois rubriques :</w:t>
      </w:r>
    </w:p>
    <w:p w:rsidR="00B67CF2" w:rsidRDefault="00B67CF2" w:rsidP="008714C2">
      <w:pPr>
        <w:pStyle w:val="Listepuces"/>
        <w:tabs>
          <w:tab w:val="num" w:pos="1420"/>
        </w:tabs>
      </w:pPr>
      <w:r w:rsidRPr="00A07AFC">
        <w:rPr>
          <w:rStyle w:val="ListepucesCar"/>
        </w:rPr>
        <w:t>Le petit.</w:t>
      </w:r>
      <w:r>
        <w:rPr>
          <w:b/>
        </w:rPr>
        <w:t xml:space="preserve"> </w:t>
      </w:r>
      <w:r>
        <w:t xml:space="preserve">Les systèmes productifs locaux, mettent en scène essentiellement de petites entreprises au sein de systèmes plus vastes. Selon Marshall, </w:t>
      </w:r>
      <w:r w:rsidRPr="008714C2">
        <w:rPr>
          <w:rStyle w:val="Accentuation"/>
        </w:rPr>
        <w:t>le district industriel produit des externalités d’agglomération, qui s’opposent aux économies d’échelles</w:t>
      </w:r>
      <w:r>
        <w:t xml:space="preserve">. Ce ne peut donc être le fait que de petites unités adaptables et flexibles. En se gardant de tout </w:t>
      </w:r>
      <w:proofErr w:type="spellStart"/>
      <w:r>
        <w:t>a-priori</w:t>
      </w:r>
      <w:proofErr w:type="spellEnd"/>
      <w:r>
        <w:t>, la petite dimension des unités productives considérées constitue un premier indice de l’existence de tissus d’entreprises territorialisés.</w:t>
      </w:r>
    </w:p>
    <w:p w:rsidR="00B67CF2" w:rsidRDefault="00B67CF2" w:rsidP="008714C2">
      <w:pPr>
        <w:pStyle w:val="Listepuces"/>
        <w:tabs>
          <w:tab w:val="num" w:pos="1420"/>
        </w:tabs>
      </w:pPr>
      <w:r w:rsidRPr="00A07AFC">
        <w:rPr>
          <w:rStyle w:val="ListepucesCar"/>
        </w:rPr>
        <w:t>Le proche.</w:t>
      </w:r>
      <w:r>
        <w:rPr>
          <w:b/>
        </w:rPr>
        <w:t xml:space="preserve"> </w:t>
      </w:r>
      <w:r>
        <w:t>La proximité des agents appartenant au même territoire est une caractéristique fondamentale des systèmes productifs locaux. Il s’agit avant tout d’une proximité géographique, d’un resserrement de la distance physique. Cette proximité permet le face à face entre acteurs et renforce la coordination des comportements économiques des entreprises, l’établissement de relations de confiance. De plus on à vue que la compétitivité des entreprises ne renvoie pas exclusivement à un savoir-faire technique et professionnel, mais recouvre également les règles gouvernant les relations d’échange et d’interactions entre les différents partenaires constitutifs du contexte productif. Pecqueur (1992) parle d’un savoir-faire organisationnel ou relationnel. « </w:t>
      </w:r>
      <w:r w:rsidRPr="008714C2">
        <w:rPr>
          <w:rStyle w:val="Accentuation"/>
        </w:rPr>
        <w:t xml:space="preserve">Ce savoir-faire exprime la réalité d’un ensemble de normes ; de routines, de règles de décision et de comportements spécifiques non pas aux firmes, mais au district considéré comme un « tout organique ». Ce savoir-faire organisationnel est enraciné dans cette culture industrielle qu’exprime l’image marshallienne </w:t>
      </w:r>
      <w:r w:rsidRPr="008714C2">
        <w:rPr>
          <w:rStyle w:val="Accentuation"/>
        </w:rPr>
        <w:lastRenderedPageBreak/>
        <w:t>« d’atmosphère industrielle ». Ces « économies externes » (externes à l’entreprise mais internes à la zone) étant « à la base de la compétitivité des systèmes de petites entreprises et reposent sur l’existence de facteurs diffus et sédimentés dans le milieu local</w:t>
      </w:r>
      <w:r>
        <w:t> »</w:t>
      </w:r>
      <w:r>
        <w:rPr>
          <w:rStyle w:val="Appelnotedebasdep"/>
          <w:sz w:val="22"/>
        </w:rPr>
        <w:footnoteReference w:id="69"/>
      </w:r>
      <w:r>
        <w:t>. Le caractère local apparaît donc comme un élément essentiel, non seulement parce que la proximité géographique favorise la faisabilité des processus d’apprentissage, mais également parce que les agents productifs y résolvent collectivement les mêmes contraintes et y poursuivent des buts complémentaires.</w:t>
      </w:r>
    </w:p>
    <w:p w:rsidR="00B67CF2" w:rsidRDefault="00B67CF2" w:rsidP="008714C2">
      <w:pPr>
        <w:pStyle w:val="Listepuces"/>
        <w:tabs>
          <w:tab w:val="num" w:pos="1420"/>
        </w:tabs>
      </w:pPr>
      <w:r w:rsidRPr="00A07AFC">
        <w:rPr>
          <w:rStyle w:val="ListepucesCar"/>
        </w:rPr>
        <w:t>L’intense</w:t>
      </w:r>
      <w:r>
        <w:rPr>
          <w:b/>
        </w:rPr>
        <w:t xml:space="preserve">. </w:t>
      </w:r>
      <w:r>
        <w:t xml:space="preserve">Le district industriel n’existe enfin que par la densité de son activité que l’on peut </w:t>
      </w:r>
      <w:r w:rsidRPr="008714C2">
        <w:rPr>
          <w:rStyle w:val="Accentuation"/>
        </w:rPr>
        <w:t>mesurer</w:t>
      </w:r>
      <w:r>
        <w:t xml:space="preserve"> en rapportant le nombre d’entreprises à la surface du site. Les entreprises doivent également se situer sur une même branche d’activité afin que puisse circuler à l’intérieur du système des informations relatives au même métier et aux mêmes savoir-faire et intéresser une pluralité d’acteurs. La densité apparaît être une des conditions d’existence d’un district. Cette condition pose cependant le problème de la mesure. Or le niveau minimal de densité n’est jamais précisé</w:t>
      </w:r>
      <w:r>
        <w:rPr>
          <w:rStyle w:val="Appelnotedebasdep"/>
          <w:sz w:val="22"/>
        </w:rPr>
        <w:footnoteReference w:id="70"/>
      </w:r>
      <w:r>
        <w:t xml:space="preserve">. </w:t>
      </w:r>
      <w:r w:rsidR="00340134">
        <w:t>Des</w:t>
      </w:r>
      <w:r>
        <w:t xml:space="preserve"> seuils de densité ne sont </w:t>
      </w:r>
      <w:r w:rsidR="00C826F6">
        <w:t>peut-être</w:t>
      </w:r>
      <w:r>
        <w:t xml:space="preserve"> jamais calculés dans la mesure ou la notion apparaît assez intuitive et tout au moins très relative. Il n’en reste pas moins que la densité (qui est une condition physique de la proximité) reste indispensable à l’élaboration de la compétitivité des groupements d’entreprises, et la base d’une croissance économique localisée.</w:t>
      </w:r>
    </w:p>
    <w:p w:rsidR="00B67CF2" w:rsidRDefault="00B67CF2" w:rsidP="00340134">
      <w:pPr>
        <w:pStyle w:val="Titre3"/>
      </w:pPr>
      <w:bookmarkStart w:id="79" w:name="_Toc336716627"/>
      <w:r>
        <w:t>Les relations entre acteurs, espace de médiation, réseau, proximité et milieu</w:t>
      </w:r>
      <w:bookmarkEnd w:id="79"/>
    </w:p>
    <w:p w:rsidR="00F42EAB" w:rsidRDefault="00B67CF2" w:rsidP="00A07AFC">
      <w:pPr>
        <w:pStyle w:val="Corpsdetexte"/>
      </w:pPr>
      <w:r>
        <w:t>Le système productif localisé est constitué de petites unités interconnectées entre elles par des relations mutuelles d’échanges, spécialisées dans une activité industrielle donnée, implantées sur un territoire délimité.</w:t>
      </w:r>
    </w:p>
    <w:p w:rsidR="00B67CF2" w:rsidRDefault="00B67CF2" w:rsidP="00A07AFC">
      <w:pPr>
        <w:pStyle w:val="Corpsdetexte"/>
      </w:pPr>
      <w:r>
        <w:t xml:space="preserve">De nombreux auteurs considèrent que c’est dans les réseaux relationnels dont s’entourent les entreprises, et plus largement dans leur environnement, que résident les vecteurs fondamentaux de la diffusion de l’innovation, de même pour les ressources leurs permettant de palier leur </w:t>
      </w:r>
      <w:r w:rsidRPr="008714C2">
        <w:rPr>
          <w:rStyle w:val="Accentuation"/>
        </w:rPr>
        <w:t>déficit</w:t>
      </w:r>
      <w:r>
        <w:t xml:space="preserve"> stratégique et managérial.</w:t>
      </w:r>
    </w:p>
    <w:p w:rsidR="00B67CF2" w:rsidRDefault="00B67CF2" w:rsidP="00A07AFC">
      <w:pPr>
        <w:pStyle w:val="Corpsdetexte"/>
      </w:pPr>
      <w:r>
        <w:lastRenderedPageBreak/>
        <w:t>La qualité du réseau développé à partir d’une base locale est par conséquent le principal facteur explicatif du dynamisme ou des faiblesses des tissus de petites entreprises. C’est d’ailleurs cette problématique qui sous-tend les efforts déployés depuis quelques années par l’État dans le cadre des réseaux d’appui technologique (ADEPA, ARIST, DRIRE</w:t>
      </w:r>
      <w:r>
        <w:rPr>
          <w:rStyle w:val="Appelnotedebasdep"/>
          <w:sz w:val="22"/>
        </w:rPr>
        <w:footnoteReference w:id="71"/>
      </w:r>
      <w:r>
        <w:t>...). Ces réseaux visent, dans le cadre des politiques de décentralisation, la mise en place de réseaux institutionnels animés par des organismes publics, des institutions ainsi que des acteurs privés, afin de procurer aux petites entreprises, non seulement des services d’information technologique, mais également une assistance stratégique au sens large (conseil technique, expertise, montage de dossiers, recherche et développement, essais, formation et aides financières).</w:t>
      </w:r>
    </w:p>
    <w:p w:rsidR="00B67CF2" w:rsidRDefault="00B67CF2" w:rsidP="00A07AFC">
      <w:pPr>
        <w:pStyle w:val="Corpsdetexte"/>
      </w:pPr>
      <w:r>
        <w:t xml:space="preserve">Le rôle central reconnu à l’environnement dans la dynamique évolutive des petites entreprises, suggère que la culture technologique et surtout </w:t>
      </w:r>
      <w:r w:rsidR="00C826F6">
        <w:t>managériale</w:t>
      </w:r>
      <w:r>
        <w:t xml:space="preserve"> d</w:t>
      </w:r>
      <w:r w:rsidR="00340134">
        <w:t>iffusée par ces réseaux puisse</w:t>
      </w:r>
      <w:r>
        <w:t xml:space="preserve"> jouer un rôle de poids dans l’accompagnement du processus de développement des tissus des petites entreprises. Il faut noter qu’à cet égard, la médiation d’un dispositif institutionnel, de par les coûts engendrés par le maintien opérationnel de telles structures,</w:t>
      </w:r>
      <w:r>
        <w:rPr>
          <w:rStyle w:val="Appelnotedebasdep"/>
          <w:sz w:val="22"/>
        </w:rPr>
        <w:footnoteReference w:id="72"/>
      </w:r>
      <w:r>
        <w:t xml:space="preserve"> apparaît souvent nécessaire pour aboutir à une coopération réelle</w:t>
      </w:r>
      <w:r>
        <w:rPr>
          <w:rStyle w:val="Appelnotedebasdep"/>
          <w:sz w:val="22"/>
        </w:rPr>
        <w:footnoteReference w:id="73"/>
      </w:r>
      <w:r>
        <w:t>.</w:t>
      </w:r>
    </w:p>
    <w:p w:rsidR="00B67CF2" w:rsidRDefault="00B67CF2" w:rsidP="00A07AFC">
      <w:pPr>
        <w:pStyle w:val="Corpsdetexte"/>
      </w:pPr>
      <w:r>
        <w:t xml:space="preserve">Mais </w:t>
      </w:r>
      <w:proofErr w:type="spellStart"/>
      <w:r>
        <w:t>Baranger</w:t>
      </w:r>
      <w:proofErr w:type="spellEnd"/>
      <w:r>
        <w:t xml:space="preserve"> souligne que l’on doit « se garder de tout systématisme dans ce domaine, dans la mesure où l’efficacité du soutien apporté par ces réseaux institutionnels semble moins dépendre de leur conformité à une structure prétendue idéale, que des avatars propres à la situation et aux pratiques réelles des entreprises. Sur ce plan en effet, la diversité qui ressort de l’observation des PME vaut aussi pour le contenu et le rôle qu’elles attribuent à l’innovation, ou encore </w:t>
      </w:r>
      <w:r>
        <w:lastRenderedPageBreak/>
        <w:t>pour la manière dont celles-ci appréhendent la coopération avec des acteurs externe à l’entreprise ».</w:t>
      </w:r>
    </w:p>
    <w:p w:rsidR="00B67CF2" w:rsidRDefault="00B67CF2" w:rsidP="00A07AFC">
      <w:pPr>
        <w:pStyle w:val="Corpsdetexte"/>
      </w:pPr>
      <w:r>
        <w:t xml:space="preserve">En fait, si la liaison entre organisation industrielle et organisation territoriale à l’intérieur du district semble fondamentale (elle est d’ailleurs soulignée unanimement par les auteurs qui s’accordent sur la très forte interrelation entre la sphère économique, sociale et politique) </w:t>
      </w:r>
      <w:proofErr w:type="spellStart"/>
      <w:r>
        <w:t>Courlet</w:t>
      </w:r>
      <w:proofErr w:type="spellEnd"/>
      <w:r>
        <w:t xml:space="preserve"> (1990) fait remarquer que « </w:t>
      </w:r>
      <w:r w:rsidRPr="008714C2">
        <w:rPr>
          <w:rStyle w:val="Accentuation"/>
        </w:rPr>
        <w:t>le sens de cette relation est beaucoup plus délicat à élucider. Est-ce l’organisation productive qui génère l’organisation territoriale ou l’inverse ?</w:t>
      </w:r>
      <w:r>
        <w:t> ».</w:t>
      </w:r>
    </w:p>
    <w:p w:rsidR="00F42EAB" w:rsidRDefault="00B67CF2" w:rsidP="00A07AFC">
      <w:pPr>
        <w:pStyle w:val="Corpsdetexte"/>
      </w:pPr>
      <w:r>
        <w:t xml:space="preserve">En tout état de cause, on peut penser que la cohérence, et donc la viabilité des systèmes locaux, sera qualifiée par les modalités d’interactions, ou plus précisément des modes de coordinations entre acteurs, certes associées aux schémas d’incitations publiques mais toujours </w:t>
      </w:r>
      <w:r w:rsidR="008C3C54">
        <w:t>dépendantes</w:t>
      </w:r>
      <w:r>
        <w:t xml:space="preserve"> des différentes contraintes et ressources rencontrées localement.</w:t>
      </w:r>
    </w:p>
    <w:p w:rsidR="00B67CF2" w:rsidRDefault="00B67CF2" w:rsidP="00A07AFC">
      <w:pPr>
        <w:pStyle w:val="Corpsdetexte"/>
      </w:pPr>
      <w:r>
        <w:t xml:space="preserve">Rendre compte de cette triple dimension se déployant au sein d’une dynamique globale de changement, dont les ressources se mobilisent dans l’environnement socio-économique global selon un cheminement contraint, canalisé, orienté par la forte dimension spatiale du local, appelle au moins un regard sur l’émergence des lieux d’intermédiations et les modalités de mise en </w:t>
      </w:r>
      <w:r w:rsidR="00C826F6">
        <w:t xml:space="preserve">œuvre </w:t>
      </w:r>
      <w:r>
        <w:t xml:space="preserve">des réseaux, sur la structure des relations entre acteurs, et enfin, sur la notion de milieu apte à rendre compte de ce qui </w:t>
      </w:r>
      <w:r w:rsidRPr="008714C2">
        <w:rPr>
          <w:rStyle w:val="Accentuation"/>
        </w:rPr>
        <w:t>fait</w:t>
      </w:r>
      <w:r>
        <w:t xml:space="preserve"> qu’une entité territoriale est prête à accepter des changements socio-économiques, souvent profonds, toujours irréversibles.</w:t>
      </w:r>
    </w:p>
    <w:p w:rsidR="00B67CF2" w:rsidRDefault="008D7B12" w:rsidP="00A07AFC">
      <w:pPr>
        <w:pStyle w:val="Corpsdetexte"/>
      </w:pPr>
      <w:r>
        <w:t xml:space="preserve"> </w:t>
      </w:r>
      <w:r w:rsidR="00B67CF2">
        <w:t>« La construction d’une « </w:t>
      </w:r>
      <w:proofErr w:type="spellStart"/>
      <w:r w:rsidR="00B67CF2">
        <w:t>regional</w:t>
      </w:r>
      <w:proofErr w:type="spellEnd"/>
      <w:r w:rsidR="00B67CF2">
        <w:t xml:space="preserve"> </w:t>
      </w:r>
      <w:proofErr w:type="spellStart"/>
      <w:r w:rsidR="00B67CF2">
        <w:t>economy</w:t>
      </w:r>
      <w:proofErr w:type="spellEnd"/>
      <w:r w:rsidR="00B67CF2">
        <w:t> » nécessite la création de lieux de négociation et de rapport de confiance qui permettent de stipuler un pacte pour le développement et de définir les dites formes de coopération et de concertation entre les différents opérateurs. (...) La construction de cette « public sphère » est indispensable aussi bien dans le cas de nouvelles « </w:t>
      </w:r>
      <w:proofErr w:type="spellStart"/>
      <w:r w:rsidR="00B67CF2">
        <w:t>regional</w:t>
      </w:r>
      <w:proofErr w:type="spellEnd"/>
      <w:r w:rsidR="00B67CF2">
        <w:t xml:space="preserve"> </w:t>
      </w:r>
      <w:proofErr w:type="spellStart"/>
      <w:r w:rsidR="00B67CF2">
        <w:t>economies</w:t>
      </w:r>
      <w:proofErr w:type="spellEnd"/>
      <w:r w:rsidR="00B67CF2">
        <w:t> » que dans celui des districts existants. Ces derniers présentent d’ailleurs souvent une carence en ce domaine du fait que, jusqu’à présent, ce qui les liait avait pour base « l’humus » identitaire spontané »</w:t>
      </w:r>
      <w:r w:rsidR="00B67CF2" w:rsidRPr="008D7B12">
        <w:rPr>
          <w:rStyle w:val="Appelnotedebasdep"/>
          <w:i/>
          <w:iCs/>
          <w:sz w:val="22"/>
        </w:rPr>
        <w:footnoteReference w:id="74"/>
      </w:r>
      <w:r w:rsidR="00B67CF2" w:rsidRPr="008D7B12">
        <w:rPr>
          <w:rStyle w:val="Appelnotedebasdep"/>
          <w:sz w:val="22"/>
        </w:rPr>
        <w:t>.</w:t>
      </w:r>
    </w:p>
    <w:p w:rsidR="00B67CF2" w:rsidRDefault="00B67CF2" w:rsidP="00A07AFC">
      <w:pPr>
        <w:pStyle w:val="Corpsdetexte"/>
      </w:pPr>
      <w:r>
        <w:t xml:space="preserve">Ces institutions d’intermédiation peuvent s’appréhender comme regroupant l’ensemble des lieux qui permettent soit la rencontre des entreprises entre elles, </w:t>
      </w:r>
      <w:r>
        <w:lastRenderedPageBreak/>
        <w:t xml:space="preserve">soit l’interface avec d’autres systèmes extérieurs. Ces systèmes extérieurs peuvent être extrêmement variés : le système éducatif initial et continu ; les lieux de recherche et d’innovation ; éventuellement le système bancaire et financier ainsi que les services spécialisés aux entreprises. Figurent également ici l’ensemble des institutions ayant un caractère privé, parapublic et public (associations de développement, chambres consulaires, </w:t>
      </w:r>
      <w:r w:rsidRPr="008714C2">
        <w:rPr>
          <w:rStyle w:val="Accentuation"/>
        </w:rPr>
        <w:t>point chance</w:t>
      </w:r>
      <w:r>
        <w:t>...).</w:t>
      </w:r>
    </w:p>
    <w:p w:rsidR="00B67CF2" w:rsidRDefault="00B67CF2" w:rsidP="00A07AFC">
      <w:pPr>
        <w:pStyle w:val="Corpsdetexte"/>
      </w:pPr>
      <w:r>
        <w:t xml:space="preserve">L’approche </w:t>
      </w:r>
      <w:r w:rsidRPr="008714C2">
        <w:rPr>
          <w:rStyle w:val="Accentuation"/>
        </w:rPr>
        <w:t>transactionnelle</w:t>
      </w:r>
      <w:r>
        <w:t xml:space="preserve"> insiste sur la capacité des institutions à réduire les coûts de transaction entre firmes. Appliquée au tissu d’entreprise en milieu rural, elle conduit à mettre l’accent sur un point majeur qui est le coût d’accès à l’information, à la formation, au conseil et au marché éloigné pour ces firmes de petite taille.</w:t>
      </w:r>
    </w:p>
    <w:p w:rsidR="00F42EAB" w:rsidRDefault="00B67CF2" w:rsidP="00A07AFC">
      <w:pPr>
        <w:pStyle w:val="Corpsdetexte"/>
      </w:pPr>
      <w:r>
        <w:t>A cet égard nous pouvons constater que l’État s’efforce d’assurer la diffusion de l’information scientifique et technique sur l’ensemble du territoire national, de faire en sorte qu’une entreprise puisse avoir un accès correct à l’information, quelle que soit sa localisation.</w:t>
      </w:r>
    </w:p>
    <w:p w:rsidR="00B67CF2" w:rsidRDefault="00B67CF2" w:rsidP="00A07AFC">
      <w:pPr>
        <w:pStyle w:val="Corpsdetexte"/>
      </w:pPr>
      <w:r>
        <w:t>Toutefois il faut remarquer ici que la dialectique du local et du global que nous évoquions plus haut implique la prise en compte du fait que la structure spatiale des territoires d’entreprises présente des différences fondamentales (mais aussi certaines analogies comme une organisation en strate, hiérarchique) et ne se superpose pas aux territoires publics (communes, départements, régions...) ces derniers n’étant pas disjoints mais englobants (la commune dans le département...). Chacun de ces territoires a une forme compacte, les collectivités territoriales ayant des frontières administrativement précises. Il n’en va pas de même pour les territoires d’entreprises où les limites sont souvent floues, ou pour les réseaux d’interrelations entre entreprises qui prennent des formes résiliaires bien différentes de l’espace sans solution de continuité des collectivités territoriales.</w:t>
      </w:r>
    </w:p>
    <w:p w:rsidR="00B67CF2" w:rsidRPr="008C3C54" w:rsidRDefault="00B67CF2" w:rsidP="00A07AFC">
      <w:pPr>
        <w:pStyle w:val="Titre3"/>
      </w:pPr>
      <w:bookmarkStart w:id="80" w:name="_Toc336716629"/>
      <w:bookmarkStart w:id="81" w:name="_Toc398658442"/>
      <w:r w:rsidRPr="008C3C54">
        <w:t>Les réseaux</w:t>
      </w:r>
      <w:bookmarkEnd w:id="80"/>
      <w:bookmarkEnd w:id="81"/>
    </w:p>
    <w:p w:rsidR="00B67CF2" w:rsidRDefault="00B67CF2" w:rsidP="00A07AFC">
      <w:pPr>
        <w:pStyle w:val="Corpsdetexte"/>
      </w:pPr>
      <w:r>
        <w:t>« </w:t>
      </w:r>
      <w:r w:rsidRPr="008714C2">
        <w:rPr>
          <w:rStyle w:val="Accentuation"/>
        </w:rPr>
        <w:t>Un réseau est un ensemble de lieux géographiques interconnectés dans un système par un certain nombre de liens</w:t>
      </w:r>
      <w:r>
        <w:t> »</w:t>
      </w:r>
      <w:r>
        <w:rPr>
          <w:rStyle w:val="Appelnotedebasdep"/>
          <w:sz w:val="22"/>
        </w:rPr>
        <w:footnoteReference w:id="75"/>
      </w:r>
      <w:r>
        <w:t xml:space="preserve">. Ces lieux géographiques interconnectés assurent une ou plusieurs fonctions, d’échange d’informations, de </w:t>
      </w:r>
      <w:r>
        <w:lastRenderedPageBreak/>
        <w:t>services, de biens... En se référant à la théorie des systèmes, Dupuy définit le réseau comme une « </w:t>
      </w:r>
      <w:r w:rsidRPr="008714C2">
        <w:rPr>
          <w:rStyle w:val="Accentuation"/>
        </w:rPr>
        <w:t>organisation caractérisée à la fois dans l’infrastructure et dans l’info</w:t>
      </w:r>
      <w:r w:rsidR="008D7B12">
        <w:rPr>
          <w:rStyle w:val="Accentuation"/>
        </w:rPr>
        <w:t>-</w:t>
      </w:r>
      <w:r w:rsidRPr="008714C2">
        <w:rPr>
          <w:rStyle w:val="Accentuation"/>
        </w:rPr>
        <w:t xml:space="preserve">structure. Le réseau traduit des hiérarchies, des appartenances, des exclusions, des dépendances. Les différents lieux géographiques ne sont pas sur un pied d’égalité. Certains </w:t>
      </w:r>
      <w:r w:rsidR="00C826F6" w:rsidRPr="008714C2">
        <w:rPr>
          <w:rStyle w:val="Accentuation"/>
        </w:rPr>
        <w:t>nœuds</w:t>
      </w:r>
      <w:r w:rsidRPr="008714C2">
        <w:rPr>
          <w:rStyle w:val="Accentuation"/>
        </w:rPr>
        <w:t xml:space="preserve"> jouent des rôles privilégiés, d’autres occupent des positions marginales. L’organisation spatiale </w:t>
      </w:r>
      <w:proofErr w:type="spellStart"/>
      <w:r w:rsidRPr="008714C2">
        <w:rPr>
          <w:rStyle w:val="Accentuation"/>
        </w:rPr>
        <w:t>christallérienne</w:t>
      </w:r>
      <w:proofErr w:type="spellEnd"/>
      <w:r w:rsidRPr="008714C2">
        <w:rPr>
          <w:rStyle w:val="Accentuation"/>
        </w:rPr>
        <w:t xml:space="preserve"> constitue un bon exemple montrant des hiérarchies emboîtées</w:t>
      </w:r>
      <w:r>
        <w:t> ».</w:t>
      </w:r>
    </w:p>
    <w:p w:rsidR="00B67CF2" w:rsidRDefault="00B67CF2" w:rsidP="00A07AFC">
      <w:pPr>
        <w:pStyle w:val="Corpsdetexte"/>
      </w:pPr>
      <w:r>
        <w:t>Sans s’étendre plus longuement sur cette notion, le réseau suppose en tout état de cause deux conditions :</w:t>
      </w:r>
    </w:p>
    <w:p w:rsidR="00B67CF2" w:rsidRDefault="00B67CF2" w:rsidP="008714C2">
      <w:pPr>
        <w:pStyle w:val="Listepuces"/>
        <w:tabs>
          <w:tab w:val="num" w:pos="1420"/>
        </w:tabs>
      </w:pPr>
      <w:r>
        <w:t xml:space="preserve">une </w:t>
      </w:r>
      <w:r w:rsidRPr="008714C2">
        <w:rPr>
          <w:rStyle w:val="Accentuation"/>
        </w:rPr>
        <w:t>proximité</w:t>
      </w:r>
      <w:r>
        <w:t xml:space="preserve"> entre acteurs, permettant le développement d’une forme de </w:t>
      </w:r>
      <w:r w:rsidRPr="008714C2">
        <w:rPr>
          <w:rStyle w:val="Accentuation"/>
        </w:rPr>
        <w:t>culture territoriale</w:t>
      </w:r>
      <w:r>
        <w:t xml:space="preserve"> nécessaire à l’élaboration des conventions qui régissent leurs relations ;</w:t>
      </w:r>
    </w:p>
    <w:p w:rsidR="00B67CF2" w:rsidRDefault="00B67CF2" w:rsidP="008714C2">
      <w:pPr>
        <w:pStyle w:val="Listepuces"/>
        <w:tabs>
          <w:tab w:val="num" w:pos="1420"/>
        </w:tabs>
      </w:pPr>
      <w:r>
        <w:t>des ancrages territoriaux, des points d’accès qui assure la matérialisation du réseau et sa pérennité dans l’espace et la durée.</w:t>
      </w:r>
    </w:p>
    <w:p w:rsidR="00B67CF2" w:rsidRDefault="00B67CF2" w:rsidP="00A07AFC">
      <w:pPr>
        <w:pStyle w:val="Corpsdetexte"/>
      </w:pPr>
      <w:r>
        <w:t>Ce qu’il semble important de retenir pour notre propos, c’est que, si de nouvelles dynamiques de développement peuvent s’appuyer sur une base locale, elles semblent en fait se développer plutôt à travers des réseaux de plus en plus professionnalisés, externes par rapport au plan local. « </w:t>
      </w:r>
      <w:r w:rsidRPr="008714C2">
        <w:rPr>
          <w:rStyle w:val="Accentuation"/>
        </w:rPr>
        <w:t>En France (...), c’ est une mobilisation élargie de ressources extérieures de plus en plus « déterritorialisées » qui peut être observée le long de réseaux professionnels de plus en plus externes : le changement de modèle social d’entreprises semble ainsi s’accompagner d’une transformation de ce que l’on a appelé le « territoire-zone » en « territoire-réseau</w:t>
      </w:r>
      <w:r>
        <w:t> »</w:t>
      </w:r>
      <w:r>
        <w:rPr>
          <w:rStyle w:val="Appelnotedebasdep"/>
          <w:sz w:val="22"/>
        </w:rPr>
        <w:footnoteReference w:id="76"/>
      </w:r>
      <w:r>
        <w:t>.</w:t>
      </w:r>
    </w:p>
    <w:p w:rsidR="00B67CF2" w:rsidRPr="008C3C54" w:rsidRDefault="00B67CF2" w:rsidP="00A07AFC">
      <w:pPr>
        <w:pStyle w:val="Titre3"/>
      </w:pPr>
      <w:bookmarkStart w:id="82" w:name="_Toc336716630"/>
      <w:bookmarkStart w:id="83" w:name="_Toc398658443"/>
      <w:r w:rsidRPr="008C3C54">
        <w:t>La structure des relations entre acteurs</w:t>
      </w:r>
      <w:bookmarkEnd w:id="82"/>
      <w:bookmarkEnd w:id="83"/>
    </w:p>
    <w:p w:rsidR="00B67CF2" w:rsidRDefault="00B67CF2" w:rsidP="00A07AFC">
      <w:pPr>
        <w:pStyle w:val="Corpsdetexte"/>
      </w:pPr>
      <w:r>
        <w:t xml:space="preserve">Une vision qui semble partagée par tous dans le cadre de cette problématique du développement territorial </w:t>
      </w:r>
      <w:proofErr w:type="spellStart"/>
      <w:r>
        <w:t>à</w:t>
      </w:r>
      <w:proofErr w:type="spellEnd"/>
      <w:r>
        <w:t xml:space="preserve"> trait à l’importance centrale de l’entreprise (et de la volonté de son dirigeant à </w:t>
      </w:r>
      <w:r w:rsidRPr="008714C2">
        <w:rPr>
          <w:rStyle w:val="Accentuation"/>
        </w:rPr>
        <w:t>partager</w:t>
      </w:r>
      <w:r>
        <w:t xml:space="preserve"> contraintes et ressources), dans la réussite d’un développement territorial. C’est à partir de l’entreprise que vont s’organiser les échanges à travers un ensemble d’interactions dont elles en constituent le point focal.</w:t>
      </w:r>
    </w:p>
    <w:p w:rsidR="00B67CF2" w:rsidRDefault="00B67CF2" w:rsidP="00A07AFC">
      <w:pPr>
        <w:pStyle w:val="Corpsdetexte"/>
      </w:pPr>
      <w:r>
        <w:lastRenderedPageBreak/>
        <w:t>Les critères de distinction généralement examinés dans la littérature permettant « saisir » la trame de ces échanges, sont, selon Torre (1993), au nombre de quatre :</w:t>
      </w:r>
    </w:p>
    <w:p w:rsidR="00B67CF2" w:rsidRDefault="00B67CF2" w:rsidP="008714C2">
      <w:pPr>
        <w:pStyle w:val="Listepuces"/>
        <w:tabs>
          <w:tab w:val="num" w:pos="1420"/>
        </w:tabs>
      </w:pPr>
      <w:r w:rsidRPr="00A07AFC">
        <w:rPr>
          <w:rStyle w:val="ListepucesCar"/>
        </w:rPr>
        <w:t>La relation horizontalité/verticalité.</w:t>
      </w:r>
      <w:r>
        <w:rPr>
          <w:b/>
        </w:rPr>
        <w:t xml:space="preserve"> </w:t>
      </w:r>
      <w:r>
        <w:t>Les liaisons verticales comprennent les relations achats/ventes, impliquent également des relations de coopération entre acteurs (sous-traitance, coopération). Les coopérations au niveau horizontal concernent quant à elle des relations entre partenaires appartenant à des aires de marché différentes ou à des relations entre concurrents.</w:t>
      </w:r>
    </w:p>
    <w:p w:rsidR="00B67CF2" w:rsidRDefault="00B67CF2" w:rsidP="008714C2">
      <w:pPr>
        <w:pStyle w:val="Listepuces"/>
        <w:tabs>
          <w:tab w:val="num" w:pos="1420"/>
        </w:tabs>
      </w:pPr>
      <w:r w:rsidRPr="00A07AFC">
        <w:rPr>
          <w:rStyle w:val="ListepucesCar"/>
        </w:rPr>
        <w:t>La séparation entre liaisons formelles et informelles.</w:t>
      </w:r>
      <w:r>
        <w:rPr>
          <w:b/>
        </w:rPr>
        <w:t xml:space="preserve"> </w:t>
      </w:r>
      <w:r>
        <w:t>Elle fait principalement référence à l’établissement de relations de coopérations formelles comme dans le cas du contrat ; ou informelles comme dans l’échange de savoir-faire tacites.</w:t>
      </w:r>
    </w:p>
    <w:p w:rsidR="00B67CF2" w:rsidRDefault="00B67CF2" w:rsidP="008714C2">
      <w:pPr>
        <w:pStyle w:val="Listepuces"/>
        <w:tabs>
          <w:tab w:val="num" w:pos="1420"/>
        </w:tabs>
      </w:pPr>
      <w:r>
        <w:rPr>
          <w:b/>
        </w:rPr>
        <w:t xml:space="preserve">Le caractère volontaire (ou non) de la relation. </w:t>
      </w:r>
      <w:r>
        <w:t>Il concerne les échanges marchands et d’informations ou la diffusion des savoir-faire s’effectuant en dehors du cadre des relations marchandes.</w:t>
      </w:r>
    </w:p>
    <w:p w:rsidR="00B67CF2" w:rsidRDefault="00B67CF2" w:rsidP="008714C2">
      <w:pPr>
        <w:pStyle w:val="Listepuces"/>
        <w:tabs>
          <w:tab w:val="num" w:pos="1420"/>
        </w:tabs>
      </w:pPr>
      <w:r>
        <w:rPr>
          <w:b/>
        </w:rPr>
        <w:t xml:space="preserve">Les échanges marchands et non marchands. </w:t>
      </w:r>
      <w:r>
        <w:t>Ils font référence aux achats et ventes de biens et services, aux échanges de brevets et de licences, ces « </w:t>
      </w:r>
      <w:r w:rsidRPr="008714C2">
        <w:rPr>
          <w:rStyle w:val="Accentuation"/>
        </w:rPr>
        <w:t>échanges non marchands sont bien plus complexes (à appréhender) puisqu’ils comprennent aussi bien les coopérations informelles, et donc volontaires, que les liaisons involontaires de type horizontal</w:t>
      </w:r>
      <w:r>
        <w:t> »</w:t>
      </w:r>
      <w:r>
        <w:rPr>
          <w:rStyle w:val="Appelnotedebasdep"/>
          <w:sz w:val="22"/>
        </w:rPr>
        <w:footnoteReference w:id="77"/>
      </w:r>
      <w:r>
        <w:t>.</w:t>
      </w:r>
    </w:p>
    <w:p w:rsidR="00B67CF2" w:rsidRDefault="00B67CF2" w:rsidP="00A07AFC">
      <w:pPr>
        <w:pStyle w:val="Corpsdetexte"/>
      </w:pPr>
      <w:r>
        <w:t>On peut donc tenir ici pour probable que toute relation prenant comme point de départ l’entreprise peut se déployer dans de nombreuses directions, soit vers les fournisseurs ou les donneurs d’ordre, les clients, les confrères... (et tout acteur susceptible d’apporter son aide : membre de la famille, socioprofessionnels, les élus...), ce faisceau de relations s’organisant en un ensemble cohérent, rassemble des valeurs sociales, politiques, économiques ; et individuelles.</w:t>
      </w:r>
    </w:p>
    <w:p w:rsidR="00B67CF2" w:rsidRPr="007576B0" w:rsidRDefault="00B67CF2" w:rsidP="00A07AFC">
      <w:pPr>
        <w:pStyle w:val="Titre3"/>
      </w:pPr>
      <w:bookmarkStart w:id="84" w:name="_Toc327445138"/>
      <w:bookmarkStart w:id="85" w:name="_Toc336716631"/>
      <w:bookmarkStart w:id="86" w:name="_Toc398658444"/>
      <w:r w:rsidRPr="007576B0">
        <w:t>La proximité : facteur essentiel de synergie</w:t>
      </w:r>
      <w:bookmarkEnd w:id="84"/>
      <w:bookmarkEnd w:id="85"/>
      <w:bookmarkEnd w:id="86"/>
    </w:p>
    <w:p w:rsidR="00F42EAB" w:rsidRDefault="00B67CF2" w:rsidP="00A07AFC">
      <w:pPr>
        <w:pStyle w:val="Corpsdetexte"/>
      </w:pPr>
      <w:r>
        <w:t xml:space="preserve">La proximité peut être entendue au sens d’une proximité physique ou spatiale, qui évoque la localisation d’agents dans un espace-plan déterminé ; mais elle est également de nature organisationnelle, et est liée à l’existence de relations, </w:t>
      </w:r>
      <w:r>
        <w:lastRenderedPageBreak/>
        <w:t xml:space="preserve">marchandes et </w:t>
      </w:r>
      <w:proofErr w:type="spellStart"/>
      <w:r>
        <w:t>non-marchandes</w:t>
      </w:r>
      <w:proofErr w:type="spellEnd"/>
      <w:r>
        <w:t>, de complémentarités et d’interdépendances au sein d’un ensemble d’agents</w:t>
      </w:r>
      <w:r>
        <w:rPr>
          <w:rStyle w:val="Appelnotedebasdep"/>
          <w:sz w:val="22"/>
        </w:rPr>
        <w:footnoteReference w:id="78"/>
      </w:r>
      <w:r>
        <w:t>.</w:t>
      </w:r>
    </w:p>
    <w:p w:rsidR="00B67CF2" w:rsidRDefault="00B67CF2" w:rsidP="00A07AFC">
      <w:pPr>
        <w:pStyle w:val="Corpsdetexte"/>
      </w:pPr>
      <w:r>
        <w:t xml:space="preserve">La notion de </w:t>
      </w:r>
      <w:r w:rsidRPr="008714C2">
        <w:rPr>
          <w:rStyle w:val="Accentuation"/>
        </w:rPr>
        <w:t>proximité géographique</w:t>
      </w:r>
      <w:r>
        <w:t xml:space="preserve"> renvoie à la dimension physique du principe de séparation entre agents, l’hypothèse étant que la courte distance favorise l’innovation grâce aux contacts directs et fréquents qu’elle permet. Mais cette distance ne doit pas être prise dans sa seule composante métrique, « </w:t>
      </w:r>
      <w:r w:rsidRPr="008714C2">
        <w:rPr>
          <w:rStyle w:val="Accentuation"/>
        </w:rPr>
        <w:t>la proximité géographique est doublement relative : elle dépend d’une part de l’échelle à laquelle on la définit et, d’autre part, des autres formes de distance entre les agents économiques</w:t>
      </w:r>
      <w:r>
        <w:t> »</w:t>
      </w:r>
      <w:r>
        <w:rPr>
          <w:rStyle w:val="Appelnotedebasdep"/>
          <w:sz w:val="22"/>
        </w:rPr>
        <w:footnoteReference w:id="79"/>
      </w:r>
      <w:r>
        <w:t>. La dimension géographique de cette proximité n’en reste cependant que plus déterminante. « </w:t>
      </w:r>
      <w:r w:rsidRPr="008714C2">
        <w:rPr>
          <w:rStyle w:val="Accentuation"/>
        </w:rPr>
        <w:t>L’acteur n’accède pas directement et seul à la dimension mondiale qui caractériserait sa rationalité substantielle. Il s’y adapte en permanence dans un processus collectif dont la proximité géographique constitue une dimension et une borne fondamentales. Dans cette perspective, le territoire constitue l’espace particulier qui permet d’opérer une médiation entre l’individu et l’extérieur et une coordination entre plusieurs justifications de l’action (marchande, domestique, civile, industrielle, etc.)</w:t>
      </w:r>
      <w:r>
        <w:t> »</w:t>
      </w:r>
      <w:r>
        <w:rPr>
          <w:rStyle w:val="Appelnotedebasdep"/>
          <w:sz w:val="22"/>
        </w:rPr>
        <w:footnoteReference w:id="80"/>
      </w:r>
      <w:r>
        <w:t>.</w:t>
      </w:r>
    </w:p>
    <w:p w:rsidR="00B67CF2" w:rsidRDefault="00B67CF2" w:rsidP="00A07AFC">
      <w:pPr>
        <w:pStyle w:val="Corpsdetexte"/>
      </w:pPr>
      <w:r>
        <w:t>La proximité organisationnelle traduit la division du travail entre les agents économiques : « elle dépend principalement des représentations en fonction desquelles les agents inscrivent leurs pratiques (stratégies, décisions, choix...). Elle concerne les relations interindividuelles, mais surtout la dimension collective, à l’intérieur des organisations ou entre les organisations. La proximité organisationnelle est donc multiple, pouvant être appréhendée au plan technologique, industriel ou financier »</w:t>
      </w:r>
      <w:r>
        <w:rPr>
          <w:rStyle w:val="Appelnotedebasdep"/>
          <w:sz w:val="22"/>
        </w:rPr>
        <w:footnoteReference w:id="81"/>
      </w:r>
      <w:r>
        <w:t>. Cette organisation productive (filières, secteurs..,) permet ou entrave une mise en correspondance des utilisateurs et des producteurs des innovations.</w:t>
      </w:r>
    </w:p>
    <w:p w:rsidR="00B67CF2" w:rsidRDefault="00B67CF2" w:rsidP="00A07AFC">
      <w:pPr>
        <w:pStyle w:val="Corpsdetexte"/>
      </w:pPr>
      <w:r>
        <w:t>La notion de proximité s’analyse donc « comme système construit de relations spécifiques. De tels systèmes n’existent que comme des représentations mentales</w:t>
      </w:r>
      <w:r w:rsidRPr="008D7B12">
        <w:rPr>
          <w:rStyle w:val="Appelnotedebasdep"/>
          <w:i/>
          <w:iCs/>
          <w:sz w:val="22"/>
        </w:rPr>
        <w:footnoteReference w:id="82"/>
      </w:r>
      <w:r>
        <w:t xml:space="preserve"> au service d’une politique (publique) d’aménagement ou d’expansion. </w:t>
      </w:r>
      <w:r>
        <w:lastRenderedPageBreak/>
        <w:t>Les acteurs, en effet, définissent leur espace pertinent sur la base d’une proximité qui est avant tout organisationnelle. Cette proximité peut aussi être spatiale si l’on situe l’espace comme producteur de normes »</w:t>
      </w:r>
      <w:r>
        <w:rPr>
          <w:rStyle w:val="Appelnotedebasdep"/>
          <w:sz w:val="22"/>
        </w:rPr>
        <w:footnoteReference w:id="83"/>
      </w:r>
      <w:r>
        <w:t xml:space="preserve">. La proximité et donc fonction d’un cadre de référence, et fortement dépendante de l’échelle retenue, </w:t>
      </w:r>
      <w:r w:rsidR="00C826F6">
        <w:t>elle-même</w:t>
      </w:r>
      <w:r>
        <w:t xml:space="preserve"> soumise aux valeurs et aux normes partagées par les acteurs en présence, la référence peut donc être de nature spatiale, économique, familiale...</w:t>
      </w:r>
    </w:p>
    <w:p w:rsidR="00B67CF2" w:rsidRPr="007576B0" w:rsidRDefault="00B67CF2" w:rsidP="00A07AFC">
      <w:pPr>
        <w:pStyle w:val="Titre3"/>
      </w:pPr>
      <w:bookmarkStart w:id="87" w:name="_Toc336716632"/>
      <w:bookmarkStart w:id="88" w:name="_Toc398658445"/>
      <w:r w:rsidRPr="007576B0">
        <w:t>Le milieu</w:t>
      </w:r>
      <w:bookmarkEnd w:id="87"/>
      <w:bookmarkEnd w:id="88"/>
    </w:p>
    <w:p w:rsidR="00B67CF2" w:rsidRDefault="00B67CF2" w:rsidP="00A07AFC">
      <w:pPr>
        <w:pStyle w:val="Corpsdetexte"/>
      </w:pPr>
      <w:r>
        <w:t xml:space="preserve">Pour </w:t>
      </w:r>
      <w:proofErr w:type="spellStart"/>
      <w:r>
        <w:t>Maillat</w:t>
      </w:r>
      <w:proofErr w:type="spellEnd"/>
      <w:r>
        <w:t xml:space="preserve"> (1992) le milieu est ce qui permet à un groupe social de forger son identité, selon certain traits caractéristiques, afin d’exercer une certaine influence sur les changements socio-économiques d’un monde qu’ils ont investi. Cet humus identitaire se sédimente selon les lignes de forces des liens de solidarité existants et s’exprime généralement à la faveur des moyens d’intervention offerts par les institutions, les collectivités, les associations...</w:t>
      </w:r>
    </w:p>
    <w:p w:rsidR="00F42EAB" w:rsidRDefault="00B67CF2" w:rsidP="00A07AFC">
      <w:pPr>
        <w:pStyle w:val="Corpsdetexte"/>
      </w:pPr>
      <w:r>
        <w:t>La notion de milieu renvoie à un ensemble cohérent appuyé et articulé autour de trois éléments</w:t>
      </w:r>
      <w:r>
        <w:rPr>
          <w:rStyle w:val="Appelnotedebasdep"/>
          <w:sz w:val="22"/>
        </w:rPr>
        <w:footnoteReference w:id="84"/>
      </w:r>
      <w:r>
        <w:t> :</w:t>
      </w:r>
    </w:p>
    <w:p w:rsidR="00B67CF2" w:rsidRDefault="00B67CF2" w:rsidP="008714C2">
      <w:pPr>
        <w:pStyle w:val="Listepuces"/>
        <w:tabs>
          <w:tab w:val="num" w:pos="1420"/>
        </w:tabs>
      </w:pPr>
      <w:r>
        <w:t>un ensemble de savoir-faire ; un passé historique communs à l’ensemble des membres du groupe et, définissant une identité collective, un patrimoine culturel et technique commun, un ensemble de normes sociales propres à ce groupe définissant ainsi un espace-territoire donné ;</w:t>
      </w:r>
    </w:p>
    <w:p w:rsidR="00F42EAB" w:rsidRDefault="00B67CF2" w:rsidP="008714C2">
      <w:pPr>
        <w:pStyle w:val="Listepuces"/>
        <w:tabs>
          <w:tab w:val="num" w:pos="1420"/>
        </w:tabs>
      </w:pPr>
      <w:r>
        <w:t>des acteurs en interaction réciproque selon une convergence d’intérêts et une volonté commune de préserver l’identité, d’assurer la survie du groupe social ;</w:t>
      </w:r>
    </w:p>
    <w:p w:rsidR="00B67CF2" w:rsidRDefault="00B67CF2" w:rsidP="008714C2">
      <w:pPr>
        <w:pStyle w:val="Listepuces"/>
        <w:tabs>
          <w:tab w:val="num" w:pos="1420"/>
        </w:tabs>
      </w:pPr>
      <w:r>
        <w:t>et dans le cas qui nous intéresse, un système territorialisé de production.</w:t>
      </w:r>
    </w:p>
    <w:p w:rsidR="00F42EAB" w:rsidRDefault="00B67CF2" w:rsidP="00A07AFC">
      <w:pPr>
        <w:pStyle w:val="Corpsdetexte"/>
      </w:pPr>
      <w:r>
        <w:t>Trois points doivent toutefois être soulignés :</w:t>
      </w:r>
    </w:p>
    <w:p w:rsidR="00F42EAB" w:rsidRDefault="00B67CF2" w:rsidP="008714C2">
      <w:pPr>
        <w:pStyle w:val="Listepuces"/>
        <w:tabs>
          <w:tab w:val="num" w:pos="1420"/>
        </w:tabs>
      </w:pPr>
      <w:r>
        <w:t xml:space="preserve">le milieu ne correspond pas à une unité géographique précise. Le milieu est certes localisé, mais ce local est en quelque sorte </w:t>
      </w:r>
      <w:r w:rsidRPr="008714C2">
        <w:rPr>
          <w:rStyle w:val="Accentuation"/>
        </w:rPr>
        <w:t>déterritorialisé</w:t>
      </w:r>
      <w:r>
        <w:t>, en ce sens qu’il ne coïncide pas nécessairement avec un territoire géographique et/ou industriel déterminé</w:t>
      </w:r>
      <w:r>
        <w:rPr>
          <w:rStyle w:val="Appelnotedebasdep"/>
          <w:sz w:val="22"/>
        </w:rPr>
        <w:footnoteReference w:id="85"/>
      </w:r>
      <w:r>
        <w:t>.</w:t>
      </w:r>
    </w:p>
    <w:p w:rsidR="00F42EAB" w:rsidRDefault="00B67CF2" w:rsidP="008714C2">
      <w:pPr>
        <w:pStyle w:val="Listepuces"/>
        <w:tabs>
          <w:tab w:val="num" w:pos="1420"/>
        </w:tabs>
      </w:pPr>
      <w:r>
        <w:lastRenderedPageBreak/>
        <w:t>le milieu n’existe pas a priori : il se construit et s’organise autour de réseaux, territoriaux ou non, le milieu se conçoit comme un système ouvert ;</w:t>
      </w:r>
    </w:p>
    <w:p w:rsidR="00B67CF2" w:rsidRDefault="00B67CF2" w:rsidP="008714C2">
      <w:pPr>
        <w:pStyle w:val="Listepuces"/>
        <w:tabs>
          <w:tab w:val="num" w:pos="1420"/>
        </w:tabs>
      </w:pPr>
      <w:r>
        <w:t>enfin le concept de milieu fonctionne comme une métaphore du territoire qui recouvre différents courants de pensée et types d’analyse. Mais « </w:t>
      </w:r>
      <w:r w:rsidRPr="008714C2">
        <w:rPr>
          <w:rStyle w:val="Accentuation"/>
        </w:rPr>
        <w:t xml:space="preserve">le phénomène de milieu est lié à la pratique des communications interpersonnelles que les agents économiques développent spontanément </w:t>
      </w:r>
      <w:r w:rsidR="00340134" w:rsidRPr="008714C2">
        <w:rPr>
          <w:rStyle w:val="Accentuation"/>
        </w:rPr>
        <w:t>par-delà</w:t>
      </w:r>
      <w:r w:rsidRPr="008714C2">
        <w:rPr>
          <w:rStyle w:val="Accentuation"/>
        </w:rPr>
        <w:t xml:space="preserve"> les canaux relationnels institutionnalisés. (...) il se caractérise surtout par des propriétés organisationnelles globales qui lui sont propre</w:t>
      </w:r>
      <w:r>
        <w:t> »</w:t>
      </w:r>
      <w:r>
        <w:rPr>
          <w:rStyle w:val="Appelnotedebasdep"/>
          <w:sz w:val="22"/>
        </w:rPr>
        <w:footnoteReference w:id="86"/>
      </w:r>
      <w:r>
        <w:t>.</w:t>
      </w:r>
    </w:p>
    <w:p w:rsidR="00F42EAB" w:rsidRDefault="00B67CF2" w:rsidP="00A07AFC">
      <w:pPr>
        <w:pStyle w:val="Corpsdetexte"/>
      </w:pPr>
      <w:r>
        <w:t xml:space="preserve">Un </w:t>
      </w:r>
      <w:r w:rsidRPr="008714C2">
        <w:rPr>
          <w:rStyle w:val="Accentuation"/>
        </w:rPr>
        <w:t>milieu</w:t>
      </w:r>
      <w:r>
        <w:t xml:space="preserve"> correspond alors à un environnement doté d’une connexité spatiale (les liens entre ces différents acteurs à travers les réseaux) offrant, à une grande variété d’acteurs, des conditions d’information et les facilités de transactions suffisantes pour assurer la pérennité et le changement du système localisé dont ils font partie</w:t>
      </w:r>
      <w:r>
        <w:rPr>
          <w:rStyle w:val="Appelnotedebasdep"/>
          <w:sz w:val="22"/>
        </w:rPr>
        <w:footnoteReference w:id="87"/>
      </w:r>
      <w:r>
        <w:t>.</w:t>
      </w:r>
    </w:p>
    <w:p w:rsidR="00B67CF2" w:rsidRDefault="00B67CF2" w:rsidP="00A07AFC">
      <w:pPr>
        <w:pStyle w:val="Corpsdetexte"/>
      </w:pPr>
      <w:r>
        <w:t>Système qui en l’occurrence est constitué d’entreprises, or parler de dynamique d’évolution à son égard nous renvoie à « tout ce qui permet, favorise ou limite leurs capacités : d’où la nécessité de prendre en compte les interfaces, l’informel ; d’où aussi le recours à la notion de réseau dans toutes ses acceptions. Et par extension progressive, un inévitable recours à la notion de « territoire » qui circonscrit une aire où se produisent des mutations, aires rarement cohérentes avec les découpages administratifs habituels, mais zones où des facteurs de proximité, de cohérence ou d’appartenance internes jouent un rôle déterminant : environnement familial, culture de la petite entreprise, sentiments hérités de l’histoire ou de la géographie »</w:t>
      </w:r>
      <w:r>
        <w:rPr>
          <w:rStyle w:val="Appelnotedebasdep"/>
          <w:sz w:val="22"/>
        </w:rPr>
        <w:footnoteReference w:id="88"/>
      </w:r>
      <w:r>
        <w:t>.</w:t>
      </w:r>
    </w:p>
    <w:p w:rsidR="00B67CF2" w:rsidRDefault="00B67CF2" w:rsidP="00A07AFC">
      <w:pPr>
        <w:pStyle w:val="Titre3"/>
      </w:pPr>
      <w:bookmarkStart w:id="89" w:name="_Toc336716633"/>
      <w:bookmarkStart w:id="90" w:name="_Toc398658446"/>
      <w:r>
        <w:t>Le territoire, la construction d’un espace d’appartenance</w:t>
      </w:r>
      <w:bookmarkEnd w:id="89"/>
      <w:bookmarkEnd w:id="90"/>
    </w:p>
    <w:p w:rsidR="00B67CF2" w:rsidRDefault="00B67CF2" w:rsidP="00A07AFC">
      <w:pPr>
        <w:pStyle w:val="Corpsdetexte"/>
      </w:pPr>
      <w:r>
        <w:t xml:space="preserve">Dans notre démarche, qui cherche à mettre en évidence un corpus théorique cohérent, croisant les multiples dimensions du développement localisé, la notion de territoire est probablement le concept qui traduit le contenu le plus riche mais aussi le plus complexe. Comme l’énonçait déjà </w:t>
      </w:r>
      <w:proofErr w:type="spellStart"/>
      <w:r>
        <w:t>Mendras</w:t>
      </w:r>
      <w:proofErr w:type="spellEnd"/>
      <w:r>
        <w:t xml:space="preserve"> (1976) la difficulté du </w:t>
      </w:r>
      <w:r>
        <w:lastRenderedPageBreak/>
        <w:t>concept de territoire est qu’il rend compte d’un espace géographiquement indéterminé, mais qui est en même temps un espace dense parce qu’espace social. « </w:t>
      </w:r>
      <w:r w:rsidRPr="008714C2">
        <w:rPr>
          <w:rStyle w:val="Accentuation"/>
        </w:rPr>
        <w:t>L’espace ne devient objet d’étude que par les significations et les valeurs qui lui sont attribuées. Fort d’images contradictoires qui lui sont affectées, elles-mêmes en rapport étroit avec le contexte économique, social et culturel d’une époque donnée, cet espace (...) produit (dans ce sens tout espace est produit à partir du moment où il ne prend son véritable statut que chargé de significations parées de valeurs) ne saurait être qu’un espace de conflits. Chacun des groupes d’utilisateurs construit sa propre représentation de l’espace...</w:t>
      </w:r>
      <w:r>
        <w:t> »</w:t>
      </w:r>
      <w:r>
        <w:rPr>
          <w:rStyle w:val="Appelnotedebasdep"/>
          <w:sz w:val="22"/>
        </w:rPr>
        <w:footnoteReference w:id="89"/>
      </w:r>
      <w:r>
        <w:t>.</w:t>
      </w:r>
    </w:p>
    <w:p w:rsidR="000D4AE1" w:rsidRDefault="00B67CF2" w:rsidP="00A07AFC">
      <w:pPr>
        <w:pStyle w:val="Corpsdetexte"/>
      </w:pPr>
      <w:r>
        <w:t>La notion de territoire nous semble donc recouvrer, selon une vision dynamique des phénomènes présents sur une aire localisée, les diverses dimensions structurant un processus de développement :</w:t>
      </w:r>
    </w:p>
    <w:p w:rsidR="00B67CF2" w:rsidRDefault="00B67CF2" w:rsidP="00C826F6">
      <w:pPr>
        <w:pStyle w:val="Listepuces"/>
        <w:tabs>
          <w:tab w:val="num" w:pos="1420"/>
        </w:tabs>
      </w:pPr>
      <w:proofErr w:type="gramStart"/>
      <w:r>
        <w:t>une</w:t>
      </w:r>
      <w:proofErr w:type="gramEnd"/>
      <w:r>
        <w:t xml:space="preserve"> pluralité d’acteurs-entrepreneurs ;</w:t>
      </w:r>
    </w:p>
    <w:p w:rsidR="00B67CF2" w:rsidRDefault="00B67CF2" w:rsidP="008714C2">
      <w:pPr>
        <w:pStyle w:val="Listepuces"/>
        <w:tabs>
          <w:tab w:val="num" w:pos="1420"/>
        </w:tabs>
      </w:pPr>
      <w:r>
        <w:t>une proximité</w:t>
      </w:r>
      <w:r>
        <w:rPr>
          <w:rStyle w:val="Appelnotedebasdep"/>
          <w:sz w:val="22"/>
        </w:rPr>
        <w:footnoteReference w:id="90"/>
      </w:r>
      <w:r>
        <w:t xml:space="preserve"> de valeurs forgées par ce groupe ;</w:t>
      </w:r>
    </w:p>
    <w:p w:rsidR="00B67CF2" w:rsidRDefault="00B67CF2" w:rsidP="008714C2">
      <w:pPr>
        <w:pStyle w:val="Listepuces"/>
        <w:tabs>
          <w:tab w:val="num" w:pos="1420"/>
        </w:tabs>
      </w:pPr>
      <w:r>
        <w:t>un réseau d’échange de ces valeurs partageables ;</w:t>
      </w:r>
    </w:p>
    <w:p w:rsidR="00B67CF2" w:rsidRDefault="00B67CF2" w:rsidP="008714C2">
      <w:pPr>
        <w:pStyle w:val="Listepuces"/>
        <w:tabs>
          <w:tab w:val="num" w:pos="1420"/>
        </w:tabs>
      </w:pPr>
      <w:r>
        <w:t>un milieu permettant la symbiose entre divers groupes et organisations locaux, sédimentant et pérennisant ainsi leurs existences ;</w:t>
      </w:r>
    </w:p>
    <w:p w:rsidR="00B67CF2" w:rsidRDefault="00B67CF2" w:rsidP="008714C2">
      <w:pPr>
        <w:pStyle w:val="Listepuces"/>
        <w:tabs>
          <w:tab w:val="num" w:pos="1420"/>
        </w:tabs>
      </w:pPr>
      <w:r>
        <w:t>et enfin l’émergence de lieux de rencontre où puissent se confronter et converger, les intérêts et les valeurs sociales</w:t>
      </w:r>
      <w:r>
        <w:rPr>
          <w:rStyle w:val="Appelnotedebasdep"/>
          <w:sz w:val="22"/>
        </w:rPr>
        <w:footnoteReference w:id="91"/>
      </w:r>
      <w:r>
        <w:t xml:space="preserve"> des différents acteurs en présence et favoriser les apprentissages mutuels, les dynamiques locales de développe</w:t>
      </w:r>
      <w:r w:rsidR="00C826F6">
        <w:t>ment étant de ce point de vue</w:t>
      </w:r>
      <w:r>
        <w:t>, toujours plurielles et évolutives.</w:t>
      </w:r>
    </w:p>
    <w:p w:rsidR="00B67CF2" w:rsidRDefault="00B67CF2" w:rsidP="00A07AFC">
      <w:pPr>
        <w:pStyle w:val="Corpsdetexte"/>
      </w:pPr>
      <w:r>
        <w:t xml:space="preserve">Ainsi les facteurs locaux jouent un rôle déterminant dans la dynamique de développement (densité d’acteurs, présence d’un milieu, capacité d’interrelations...). Ces caractéristiques ont des conséquences directes dans la </w:t>
      </w:r>
      <w:r>
        <w:lastRenderedPageBreak/>
        <w:t>mise en application des politiques, leur repérage appelle le choix d’un point de vue subjectif, d’une échelle de valeur à partir de laquelle s’élaborent les représentations d’un site et d’une situation qui s’articulent à un espace large et à une histoire locale, car si c’est bien « </w:t>
      </w:r>
      <w:r w:rsidRPr="008714C2">
        <w:rPr>
          <w:rStyle w:val="Accentuation"/>
        </w:rPr>
        <w:t>le système économique qui définit ce qu’est une ressource, c’est l’échelle territoriale à laquelle elle s’applique qui en détermine la valeur</w:t>
      </w:r>
      <w:r>
        <w:t> »</w:t>
      </w:r>
      <w:r>
        <w:rPr>
          <w:rStyle w:val="Appelnotedebasdep"/>
          <w:sz w:val="22"/>
        </w:rPr>
        <w:footnoteReference w:id="92"/>
      </w:r>
      <w:r>
        <w:t>.</w:t>
      </w:r>
    </w:p>
    <w:p w:rsidR="00B67CF2" w:rsidRPr="007576B0" w:rsidRDefault="00B67CF2" w:rsidP="00A07AFC">
      <w:pPr>
        <w:pStyle w:val="Titre3"/>
      </w:pPr>
      <w:bookmarkStart w:id="91" w:name="_Toc336716634"/>
      <w:bookmarkStart w:id="92" w:name="_Toc398658447"/>
      <w:r w:rsidRPr="007576B0">
        <w:t>De l’espace au territoire, quand l’engagement de l’acteur structure et hiérarchise</w:t>
      </w:r>
      <w:bookmarkEnd w:id="91"/>
      <w:bookmarkEnd w:id="92"/>
    </w:p>
    <w:p w:rsidR="00B67CF2" w:rsidRDefault="00B67CF2" w:rsidP="00A07AFC">
      <w:pPr>
        <w:pStyle w:val="Corpsdetexte"/>
      </w:pPr>
      <w:r>
        <w:t>Concept de base dans l’étude du comportement animal, la territorialité n’a été réellement explicitée qu’au début du XX</w:t>
      </w:r>
      <w:r>
        <w:rPr>
          <w:vertAlign w:val="superscript"/>
        </w:rPr>
        <w:t>ème</w:t>
      </w:r>
      <w:r>
        <w:t xml:space="preserve"> siècle, notamment par Howard en 1920 qui en fournit une définition précise : </w:t>
      </w:r>
      <w:r w:rsidRPr="008714C2">
        <w:rPr>
          <w:rStyle w:val="Accentuation"/>
        </w:rPr>
        <w:t>c’est la conduite caractéristique adoptée par un organisme pour prendre possession d’un territoire et le défendre contre les membres de sa propre espèce</w:t>
      </w:r>
      <w:r>
        <w:t>.</w:t>
      </w:r>
    </w:p>
    <w:p w:rsidR="00B67CF2" w:rsidRDefault="00B67CF2" w:rsidP="00A07AFC">
      <w:pPr>
        <w:pStyle w:val="Corpsdetexte"/>
      </w:pPr>
      <w:r>
        <w:t xml:space="preserve">Les Sciences Sociales vont largement utiliser cette approche. Sociologues, psychosociologues, anthropologues dans leurs travaux sur la </w:t>
      </w:r>
      <w:r w:rsidRPr="008714C2">
        <w:rPr>
          <w:rStyle w:val="Accentuation"/>
        </w:rPr>
        <w:t>territorialité</w:t>
      </w:r>
      <w:r>
        <w:t xml:space="preserve"> se sont inspirés d’un acquis central de l’éthologie : </w:t>
      </w:r>
      <w:r w:rsidRPr="008714C2">
        <w:rPr>
          <w:rStyle w:val="Accentuation"/>
        </w:rPr>
        <w:t xml:space="preserve">la </w:t>
      </w:r>
      <w:proofErr w:type="spellStart"/>
      <w:r w:rsidRPr="008714C2">
        <w:rPr>
          <w:rStyle w:val="Accentuation"/>
        </w:rPr>
        <w:t>proxémie</w:t>
      </w:r>
      <w:proofErr w:type="spellEnd"/>
      <w:r>
        <w:t>, définie comme l’ensemble des observations et théories sur l’usage que l’homme fait de son espace.</w:t>
      </w:r>
    </w:p>
    <w:p w:rsidR="00F42EAB" w:rsidRDefault="00B67CF2" w:rsidP="00A07AFC">
      <w:pPr>
        <w:pStyle w:val="Corpsdetexte"/>
      </w:pPr>
      <w:r>
        <w:t>Trois notions peuvent être retenues, notions éventuellement transposables à l’analyse de l’objet qui nous intéresse :</w:t>
      </w:r>
    </w:p>
    <w:p w:rsidR="00F42EAB" w:rsidRDefault="00B67CF2" w:rsidP="008714C2">
      <w:pPr>
        <w:pStyle w:val="Listepuces"/>
        <w:tabs>
          <w:tab w:val="num" w:pos="1420"/>
        </w:tabs>
      </w:pPr>
      <w:r>
        <w:t>celle d’espacement</w:t>
      </w:r>
      <w:r>
        <w:rPr>
          <w:rStyle w:val="Appelnotedebasdep"/>
          <w:sz w:val="22"/>
        </w:rPr>
        <w:footnoteReference w:id="93"/>
      </w:r>
      <w:r>
        <w:t xml:space="preserve"> entre les sujets,</w:t>
      </w:r>
    </w:p>
    <w:p w:rsidR="00B67CF2" w:rsidRDefault="00B67CF2" w:rsidP="008714C2">
      <w:pPr>
        <w:pStyle w:val="Listepuces"/>
        <w:tabs>
          <w:tab w:val="num" w:pos="1420"/>
        </w:tabs>
      </w:pPr>
      <w:r>
        <w:t>celle de domination, de hiérarchisation selon des rapports de position et d’orientation</w:t>
      </w:r>
      <w:r>
        <w:rPr>
          <w:rStyle w:val="Appelnotedebasdep"/>
          <w:sz w:val="22"/>
        </w:rPr>
        <w:footnoteReference w:id="94"/>
      </w:r>
      <w:r>
        <w:t>,</w:t>
      </w:r>
    </w:p>
    <w:p w:rsidR="00B67CF2" w:rsidRDefault="00B67CF2" w:rsidP="008714C2">
      <w:pPr>
        <w:pStyle w:val="Listepuces"/>
        <w:tabs>
          <w:tab w:val="num" w:pos="1420"/>
        </w:tabs>
      </w:pPr>
      <w:r>
        <w:lastRenderedPageBreak/>
        <w:t>le rôle premier joué par les limites</w:t>
      </w:r>
      <w:r>
        <w:rPr>
          <w:rStyle w:val="Appelnotedebasdep"/>
          <w:sz w:val="22"/>
        </w:rPr>
        <w:footnoteReference w:id="95"/>
      </w:r>
      <w:r>
        <w:t xml:space="preserve"> qui différencient les territoires appropriés.</w:t>
      </w:r>
    </w:p>
    <w:p w:rsidR="00B67CF2" w:rsidRDefault="00B67CF2" w:rsidP="00A07AFC">
      <w:pPr>
        <w:pStyle w:val="Corpsdetexte"/>
      </w:pPr>
      <w:r>
        <w:t xml:space="preserve">Des travaux de Moles nous reteindrons également que l’espace se structure en auréoles successives, en plaçant en position centrale l’individu qui cherche à structurer </w:t>
      </w:r>
      <w:r w:rsidRPr="008714C2">
        <w:rPr>
          <w:rStyle w:val="Accentuation"/>
        </w:rPr>
        <w:t>son territoire</w:t>
      </w:r>
      <w:r>
        <w:t xml:space="preserve">. Une grande variété d’espaces en découle, qui fait se côtoyer des unités spatiales compactes, définissables en termes de formes et de sens (le bourg centre, le pays...), avec des espaces « détachés » qui n’ont d’existence, en se superposant aux premiers, que chargés des significations des acteurs qui l’investissent et le servent. Il nous semble en effet que c’est seulement de cette dialectique que peut naître le territoire. De par son action, son projet, son engagement, l’acteur </w:t>
      </w:r>
      <w:r w:rsidRPr="008714C2">
        <w:rPr>
          <w:rStyle w:val="Accentuation"/>
        </w:rPr>
        <w:t>territorialise l’espace</w:t>
      </w:r>
      <w:r>
        <w:t>. Ce qui implique que « </w:t>
      </w:r>
      <w:r w:rsidRPr="008714C2">
        <w:rPr>
          <w:rStyle w:val="Accentuation"/>
        </w:rPr>
        <w:t>l’existence du territoire n’est pas structurellement garantie. Il est le résultat d’une construction, l’effet d’engagements territoriaux des agents et peut, à ce titre, tout aussi bien se défaire que se faire</w:t>
      </w:r>
      <w:r>
        <w:t> »</w:t>
      </w:r>
      <w:r>
        <w:rPr>
          <w:rStyle w:val="Appelnotedebasdep"/>
          <w:sz w:val="22"/>
        </w:rPr>
        <w:footnoteReference w:id="96"/>
      </w:r>
      <w:r>
        <w:t>.</w:t>
      </w:r>
    </w:p>
    <w:p w:rsidR="00B67CF2" w:rsidRPr="007576B0" w:rsidRDefault="00B67CF2" w:rsidP="00A07AFC">
      <w:pPr>
        <w:pStyle w:val="Titre3"/>
      </w:pPr>
      <w:bookmarkStart w:id="93" w:name="_Toc336716635"/>
      <w:bookmarkStart w:id="94" w:name="_Toc398658448"/>
      <w:r w:rsidRPr="007576B0">
        <w:t>La dimension sociale du territoire, l’espace de vie</w:t>
      </w:r>
      <w:bookmarkEnd w:id="93"/>
      <w:bookmarkEnd w:id="94"/>
    </w:p>
    <w:p w:rsidR="00F42EAB" w:rsidRDefault="00B67CF2" w:rsidP="00A07AFC">
      <w:pPr>
        <w:pStyle w:val="Corpsdetexte"/>
      </w:pPr>
      <w:r>
        <w:t>Sous le terme de territoire, c’est donc à un espace doté d’une épaisseur sociale que nous devons faire référence ici.</w:t>
      </w:r>
    </w:p>
    <w:p w:rsidR="00B67CF2" w:rsidRDefault="00B67CF2" w:rsidP="00A07AFC">
      <w:pPr>
        <w:pStyle w:val="Corpsdetexte"/>
      </w:pPr>
      <w:r>
        <w:t>Construit à partir de l’espace, quel</w:t>
      </w:r>
      <w:r w:rsidR="00C826F6">
        <w:t xml:space="preserve"> </w:t>
      </w:r>
      <w:r>
        <w:t xml:space="preserve">que soit l’échelle retenue le territoire se présente à l’analyse comme le résultat d’actions menées, par des acteurs réalisant un projet. Comme le rappelle </w:t>
      </w:r>
      <w:proofErr w:type="spellStart"/>
      <w:r>
        <w:t>Rallet</w:t>
      </w:r>
      <w:proofErr w:type="spellEnd"/>
      <w:r>
        <w:t xml:space="preserve"> (1993), « </w:t>
      </w:r>
      <w:r w:rsidRPr="008714C2">
        <w:rPr>
          <w:rStyle w:val="Accentuation"/>
        </w:rPr>
        <w:t>le territoire est une construction d’agents localisés structurés en un réseau de relations, mais il est avant tout le support de la réalisation des intérêts individuels</w:t>
      </w:r>
      <w:r>
        <w:t> ». Cette référence au projet fait que le territoire a une épaisseur temporelle, historique donc sociale fondamentale.</w:t>
      </w:r>
    </w:p>
    <w:bookmarkEnd w:id="72"/>
    <w:p w:rsidR="00B67CF2" w:rsidRDefault="00B67CF2" w:rsidP="00A07AFC">
      <w:pPr>
        <w:pStyle w:val="Corpsdetexte"/>
      </w:pPr>
      <w:r>
        <w:t xml:space="preserve">Mais désigner le cadre local comme un élément décisif de l’efficacité revient à partir de la base afin de construire le développement. Ainsi compris, le concept de territoire, si on souhaite l’utiliser en matière de développement, permet de retenir le </w:t>
      </w:r>
      <w:r w:rsidRPr="008714C2">
        <w:rPr>
          <w:rStyle w:val="Accentuation"/>
        </w:rPr>
        <w:t>local</w:t>
      </w:r>
      <w:r>
        <w:rPr>
          <w:rStyle w:val="Appelnotedebasdep"/>
          <w:sz w:val="22"/>
        </w:rPr>
        <w:footnoteReference w:id="97"/>
      </w:r>
      <w:r>
        <w:t xml:space="preserve">, ou plus exactement les sociétés locales comme échelle pertinente </w:t>
      </w:r>
      <w:r>
        <w:lastRenderedPageBreak/>
        <w:t xml:space="preserve">d’intervention sur l’espace. Cette reconnaissance de la territorialité des acteurs et de leurs organisations s’appuiera alors sur le </w:t>
      </w:r>
      <w:r w:rsidRPr="008714C2">
        <w:rPr>
          <w:rStyle w:val="Accentuation"/>
        </w:rPr>
        <w:t>vécu</w:t>
      </w:r>
      <w:r>
        <w:t xml:space="preserve"> des individus et des groupes en laissant une large place à la notion de pouvoir qui favorise ou limite les relations existant entre les différents acteurs. « </w:t>
      </w:r>
      <w:r w:rsidRPr="008714C2">
        <w:rPr>
          <w:rStyle w:val="Accentuation"/>
        </w:rPr>
        <w:t>L’espace n’est plus ici conçu seulement comme distance des lieux, mesurée par des coûts. L’espace n’est pas non plus un et indivisible (...), il est avant tout pluriel, composé de territoires qui sont autant d’espaces de vie pour les groupes qui doivent et peuvent organiser leur propre développement</w:t>
      </w:r>
      <w:r>
        <w:t> »</w:t>
      </w:r>
      <w:r>
        <w:rPr>
          <w:rStyle w:val="Appelnotedebasdep"/>
          <w:sz w:val="22"/>
        </w:rPr>
        <w:footnoteReference w:id="98"/>
      </w:r>
      <w:r>
        <w:t>.</w:t>
      </w:r>
    </w:p>
    <w:p w:rsidR="00B67CF2" w:rsidRDefault="00B67CF2" w:rsidP="00A07AFC">
      <w:pPr>
        <w:pStyle w:val="Corpsdetexte"/>
      </w:pPr>
      <w:bookmarkStart w:id="95" w:name="_Toc333377567"/>
      <w:bookmarkStart w:id="96" w:name="_Toc333377562"/>
      <w:r>
        <w:t>Ainsi, « renoncer au terme d’espace pour retenir celui de territoire, c’est admettre implicitement que les valeurs sociales jouent un rôle premier dans l’analyse du processus cognitif, en particulier dans toute lecture d’une étendue terrestre quelconque. On entendra par valeurs sociales des qualités que nous attribuons consciemment ou non à un type de relation, à une représentation ou à un objet ; Mettre en position centrale dans la réflexion les valeurs sociales (et) prétendre gérer l’espace dans l’intérêt premier des habitants</w:t>
      </w:r>
      <w:r w:rsidR="00984F94">
        <w:t xml:space="preserve"> </w:t>
      </w:r>
      <w:r>
        <w:t>(...), revient en premier lieu à prendre en compte leur(s) territorialité(s) »</w:t>
      </w:r>
      <w:r w:rsidRPr="007576B0">
        <w:rPr>
          <w:rStyle w:val="Appelnotedebasdep"/>
          <w:i/>
          <w:iCs/>
          <w:sz w:val="22"/>
        </w:rPr>
        <w:footnoteReference w:id="99"/>
      </w:r>
      <w:r w:rsidRPr="007576B0">
        <w:rPr>
          <w:rStyle w:val="Appelnotedebasdep"/>
          <w:sz w:val="22"/>
        </w:rPr>
        <w:t>.</w:t>
      </w:r>
    </w:p>
    <w:p w:rsidR="00F42EAB" w:rsidRDefault="00D65C0F" w:rsidP="002C7BAC">
      <w:pPr>
        <w:pStyle w:val="Titre2"/>
      </w:pPr>
      <w:bookmarkStart w:id="97" w:name="_Toc336716636"/>
      <w:bookmarkStart w:id="98" w:name="_Toc398658449"/>
      <w:r>
        <w:t>Conclusion d’étape :</w:t>
      </w:r>
      <w:r w:rsidR="00B67CF2">
        <w:t xml:space="preserve"> les enseignements des Sciences Humaines sur la dynamique territoriale des tissus de petites entreprises</w:t>
      </w:r>
      <w:bookmarkEnd w:id="97"/>
      <w:bookmarkEnd w:id="98"/>
    </w:p>
    <w:p w:rsidR="00B67CF2" w:rsidRDefault="00B67CF2" w:rsidP="00A07AFC">
      <w:pPr>
        <w:pStyle w:val="Corpsdetexte"/>
      </w:pPr>
      <w:r>
        <w:t>Le repérage de deux niveaux d’analyse va nous permettre de rappeler brièvement les éléments centraux de l’élaboration d’un schéma explicatif de l’organisation des interrelations entre acteurs et de leurs dynamiques territoriales.</w:t>
      </w:r>
    </w:p>
    <w:p w:rsidR="00B67CF2" w:rsidRDefault="008D7B12" w:rsidP="00A07AFC">
      <w:pPr>
        <w:pStyle w:val="Corpsdetexte"/>
      </w:pPr>
      <w:r>
        <w:t>S</w:t>
      </w:r>
      <w:r w:rsidR="00B67CF2">
        <w:t xml:space="preserve">ur un premier niveau nous pouvons rassembler les notions permettant de délimiter notre objet d’étude (en fonction ici des problèmes spécifiques de l’aménagement local), en sachant que les </w:t>
      </w:r>
      <w:r w:rsidR="00B67CF2" w:rsidRPr="008714C2">
        <w:rPr>
          <w:rStyle w:val="Accentuation"/>
        </w:rPr>
        <w:t>limites territoriales</w:t>
      </w:r>
      <w:r w:rsidR="00B67CF2">
        <w:t xml:space="preserve"> ainsi posées sont à la fois physiques et immatérielles. Le territoire se présente à l’analyse comme le résultat d’actions conduites par des acteurs réalisant un projet. A partir d’un support spatial quelconque, par accumulation de sens, se construit progressivement une identité locale : le territoire. Celui-ci peut alors se lire comme un modèle</w:t>
      </w:r>
      <w:r w:rsidR="00B67CF2" w:rsidRPr="008714C2">
        <w:rPr>
          <w:rStyle w:val="Accentuation"/>
        </w:rPr>
        <w:t>, une figure explicative de l’identité territoriale</w:t>
      </w:r>
      <w:r w:rsidR="00B67CF2">
        <w:t xml:space="preserve">. Le sentiment </w:t>
      </w:r>
      <w:r w:rsidR="00B67CF2">
        <w:lastRenderedPageBreak/>
        <w:t>d’appartenance à un territoire commun semble donc constituer un véritable atout pour la réussite d’une politique d’aide au développement territorial. Mais cette figure n’aura pas les mêmes contour</w:t>
      </w:r>
      <w:r w:rsidR="00984F94">
        <w:t>s</w:t>
      </w:r>
      <w:r w:rsidR="00B67CF2">
        <w:t xml:space="preserve"> selon que le territoire est </w:t>
      </w:r>
      <w:r w:rsidR="00B67CF2" w:rsidRPr="008714C2">
        <w:rPr>
          <w:rStyle w:val="Accentuation"/>
        </w:rPr>
        <w:t>pensé</w:t>
      </w:r>
      <w:r w:rsidR="00B67CF2">
        <w:t xml:space="preserve"> en </w:t>
      </w:r>
      <w:r>
        <w:t>situation dominante ou dominée.</w:t>
      </w:r>
    </w:p>
    <w:p w:rsidR="00B67CF2" w:rsidRDefault="008D7B12" w:rsidP="00A07AFC">
      <w:pPr>
        <w:pStyle w:val="Corpsdetexte"/>
      </w:pPr>
      <w:r>
        <w:t>U</w:t>
      </w:r>
      <w:r w:rsidR="00B67CF2">
        <w:t xml:space="preserve">n deuxième niveau concerne plus particulièrement la mise en évidence des modes de structuration du territoire retenu, son histoire, la nature de ses mécanismes de changement et de permanence. Retenir le territoire, c’est admettre que les valeurs sociales jouent un rôle premier dans toute lecture de l’espace. </w:t>
      </w:r>
      <w:proofErr w:type="gramStart"/>
      <w:r w:rsidR="00B67CF2">
        <w:t>il</w:t>
      </w:r>
      <w:proofErr w:type="gramEnd"/>
      <w:r w:rsidR="00B67CF2">
        <w:t xml:space="preserve"> apparaît alors souhaitable d’étendre notre champ d’analyse à des processus et phénomènes relevant explicitement de variables sociales, politiques et environnementales. En effet, « </w:t>
      </w:r>
      <w:r w:rsidR="00B67CF2" w:rsidRPr="008714C2">
        <w:rPr>
          <w:rStyle w:val="Accentuation"/>
        </w:rPr>
        <w:t>des travaux récents ont démontré l’importance des perceptions et des représentations humaines dans la structuration par l’homme de ses activités dans l’espace</w:t>
      </w:r>
      <w:r w:rsidR="00B67CF2">
        <w:t> »</w:t>
      </w:r>
      <w:r w:rsidR="00B67CF2">
        <w:rPr>
          <w:rStyle w:val="Appelnotedebasdep"/>
          <w:sz w:val="22"/>
        </w:rPr>
        <w:footnoteReference w:id="100"/>
      </w:r>
      <w:r w:rsidR="00B67CF2">
        <w:t>. Production de normes, maîtrise des enjeux et partage de l’information apparaissent alors comme une base essentielle aux dynamiques territoriales.</w:t>
      </w:r>
    </w:p>
    <w:p w:rsidR="00B67CF2" w:rsidRDefault="00B67CF2" w:rsidP="00A07AFC">
      <w:pPr>
        <w:pStyle w:val="Corpsdetexte"/>
      </w:pPr>
      <w:r>
        <w:t>Ainsi le premier enjeu du développement territorial réside « dans la mobilisation et la structuration des ressources obtenues en amont de l’environnement en vue d’atteindre en aval des résultats, des effets qui correspondent à des problèmes, besoins, demandes, nécessités de différents types de publics. Il s’agit bien de développer un processus de perception, d’identification et d’analyse de besoins rencontrés dans certaines régions de l’environnement »</w:t>
      </w:r>
      <w:r w:rsidRPr="007576B0">
        <w:rPr>
          <w:rStyle w:val="Appelnotedebasdep"/>
          <w:sz w:val="22"/>
        </w:rPr>
        <w:footnoteReference w:id="101"/>
      </w:r>
      <w:r>
        <w:t>.</w:t>
      </w:r>
    </w:p>
    <w:p w:rsidR="00B67CF2" w:rsidRDefault="00137D7B" w:rsidP="008714C2">
      <w:pPr>
        <w:pStyle w:val="Titre1"/>
      </w:pPr>
      <w:bookmarkStart w:id="99" w:name="_Toc336716656"/>
      <w:bookmarkStart w:id="100" w:name="_Toc398658450"/>
      <w:bookmarkEnd w:id="95"/>
      <w:bookmarkEnd w:id="96"/>
      <w:r>
        <w:lastRenderedPageBreak/>
        <w:t xml:space="preserve">Conclusion : </w:t>
      </w:r>
      <w:r w:rsidR="00B67CF2">
        <w:t>visibilité et</w:t>
      </w:r>
      <w:r>
        <w:t xml:space="preserve"> orientation de la dynamique de </w:t>
      </w:r>
      <w:r w:rsidR="00B67CF2">
        <w:t>changement territorial</w:t>
      </w:r>
      <w:bookmarkEnd w:id="99"/>
      <w:bookmarkEnd w:id="100"/>
    </w:p>
    <w:p w:rsidR="00B67CF2" w:rsidRDefault="00B67CF2" w:rsidP="002C7BAC">
      <w:pPr>
        <w:pStyle w:val="Titre2"/>
      </w:pPr>
      <w:bookmarkStart w:id="101" w:name="_Toc336716657"/>
      <w:bookmarkStart w:id="102" w:name="_Toc398658451"/>
      <w:r>
        <w:t>Discours politique et production du territoire</w:t>
      </w:r>
      <w:bookmarkEnd w:id="101"/>
      <w:bookmarkEnd w:id="102"/>
    </w:p>
    <w:p w:rsidR="00B67CF2" w:rsidRPr="00137D7B" w:rsidRDefault="00B67CF2" w:rsidP="00A07AFC">
      <w:pPr>
        <w:pStyle w:val="Titre3"/>
      </w:pPr>
      <w:bookmarkStart w:id="103" w:name="_Toc336716658"/>
      <w:bookmarkStart w:id="104" w:name="_Toc398658452"/>
      <w:r w:rsidRPr="00137D7B">
        <w:t>La réalité territoriale, élaboration administrative et politique</w:t>
      </w:r>
      <w:bookmarkEnd w:id="103"/>
      <w:bookmarkEnd w:id="104"/>
    </w:p>
    <w:p w:rsidR="00B67CF2" w:rsidRDefault="00B67CF2" w:rsidP="00A07AFC">
      <w:pPr>
        <w:pStyle w:val="Corpsdetexte"/>
      </w:pPr>
      <w:r>
        <w:t>En France, les lois de décentralisation se sont efforcées de mieux prendre en compte le développement territorial. Mais force est de constater que l’échelon micro-régional apparaît peu. La reconnaissance de la localité, du pays, est encore aujourd’hui plus implicite qu’explicite.</w:t>
      </w:r>
    </w:p>
    <w:p w:rsidR="00F42EAB" w:rsidRDefault="00B67CF2" w:rsidP="00A07AFC">
      <w:pPr>
        <w:pStyle w:val="Corpsdetexte"/>
      </w:pPr>
      <w:r>
        <w:t xml:space="preserve">Quoiqu’il en soit, il apparaît que le discours </w:t>
      </w:r>
      <w:proofErr w:type="spellStart"/>
      <w:r w:rsidRPr="008714C2">
        <w:rPr>
          <w:rStyle w:val="Accentuation"/>
        </w:rPr>
        <w:t>localiste</w:t>
      </w:r>
      <w:proofErr w:type="spellEnd"/>
      <w:r>
        <w:t xml:space="preserve"> sert au moins à valider les options d’aménagement définies au niveau central. Comme on peut le mesurer à la lecture des textes d’application des ORAC, la conception </w:t>
      </w:r>
      <w:r w:rsidRPr="008714C2">
        <w:rPr>
          <w:rStyle w:val="Accentuation"/>
        </w:rPr>
        <w:t xml:space="preserve">politique </w:t>
      </w:r>
      <w:r>
        <w:t>de l’aménagement du territoire trouve sa traduction dans un programme, selon un certain nombre d’étapes rigidement structurées :</w:t>
      </w:r>
    </w:p>
    <w:p w:rsidR="00F42EAB" w:rsidRDefault="00B67CF2" w:rsidP="008714C2">
      <w:pPr>
        <w:pStyle w:val="Listepuces"/>
        <w:tabs>
          <w:tab w:val="num" w:pos="1420"/>
        </w:tabs>
      </w:pPr>
      <w:r>
        <w:t>énoncé de la philosophie générale du programme d’intervention sur l’espace ;</w:t>
      </w:r>
    </w:p>
    <w:p w:rsidR="00F42EAB" w:rsidRDefault="00B67CF2" w:rsidP="008714C2">
      <w:pPr>
        <w:pStyle w:val="Listepuces"/>
        <w:tabs>
          <w:tab w:val="num" w:pos="1420"/>
        </w:tabs>
      </w:pPr>
      <w:r>
        <w:t>collecte des données permettant la mise en évidence des problèmes et des dysfonctionnements ;</w:t>
      </w:r>
    </w:p>
    <w:p w:rsidR="00B67CF2" w:rsidRDefault="00B67CF2" w:rsidP="008714C2">
      <w:pPr>
        <w:pStyle w:val="Listepuces"/>
        <w:tabs>
          <w:tab w:val="num" w:pos="1420"/>
        </w:tabs>
      </w:pPr>
      <w:r>
        <w:t>détermination des objectifs ;</w:t>
      </w:r>
    </w:p>
    <w:p w:rsidR="00B67CF2" w:rsidRDefault="00B67CF2" w:rsidP="008714C2">
      <w:pPr>
        <w:pStyle w:val="Listepuces"/>
        <w:tabs>
          <w:tab w:val="num" w:pos="1420"/>
        </w:tabs>
      </w:pPr>
      <w:r>
        <w:t>élaboration des options d’intervention ;</w:t>
      </w:r>
    </w:p>
    <w:p w:rsidR="00B67CF2" w:rsidRDefault="00B67CF2" w:rsidP="008714C2">
      <w:pPr>
        <w:pStyle w:val="Listepuces"/>
        <w:tabs>
          <w:tab w:val="num" w:pos="1420"/>
        </w:tabs>
      </w:pPr>
      <w:proofErr w:type="gramStart"/>
      <w:r>
        <w:t>construction</w:t>
      </w:r>
      <w:proofErr w:type="gramEnd"/>
      <w:r>
        <w:t xml:space="preserve"> d’un programme de mise en </w:t>
      </w:r>
      <w:r w:rsidR="00C826F6">
        <w:t>œuvre</w:t>
      </w:r>
      <w:r>
        <w:t xml:space="preserve"> comportant des mesures précises ;</w:t>
      </w:r>
    </w:p>
    <w:p w:rsidR="00F42EAB" w:rsidRDefault="00B67CF2" w:rsidP="008714C2">
      <w:pPr>
        <w:pStyle w:val="Listepuces"/>
        <w:tabs>
          <w:tab w:val="num" w:pos="1420"/>
        </w:tabs>
      </w:pPr>
      <w:r>
        <w:t>réalisation sur le terrain des programmes décidés ;</w:t>
      </w:r>
    </w:p>
    <w:p w:rsidR="00F42EAB" w:rsidRDefault="00B67CF2" w:rsidP="008714C2">
      <w:pPr>
        <w:pStyle w:val="Listepuces"/>
        <w:tabs>
          <w:tab w:val="num" w:pos="1420"/>
        </w:tabs>
      </w:pPr>
      <w:r>
        <w:t>et enfin, suivi de réalisation du plan de développement et éventuellement nouvelles orientations.</w:t>
      </w:r>
    </w:p>
    <w:p w:rsidR="00B67CF2" w:rsidRDefault="00B67CF2" w:rsidP="00A07AFC">
      <w:pPr>
        <w:pStyle w:val="Corpsdetexte"/>
      </w:pPr>
      <w:r>
        <w:t xml:space="preserve">Or, les décideurs (politiques et administratifs) occupent une place centrale lors de la plupart de ces phases ; leurs propres représentations priment alors quant au </w:t>
      </w:r>
      <w:r>
        <w:lastRenderedPageBreak/>
        <w:t xml:space="preserve">devenir de l’espace en question. Cette lecture politique du territoire rend compte d’un double mouvement d’élaboration du statut de l’espace </w:t>
      </w:r>
      <w:r w:rsidRPr="008714C2">
        <w:rPr>
          <w:rStyle w:val="Accentuation"/>
        </w:rPr>
        <w:t>aménageable</w:t>
      </w:r>
      <w:r>
        <w:rPr>
          <w:rStyle w:val="Appelnotedebasdep"/>
          <w:sz w:val="22"/>
        </w:rPr>
        <w:footnoteReference w:id="102"/>
      </w:r>
      <w:r w:rsidRPr="008714C2">
        <w:rPr>
          <w:rStyle w:val="Accentuation"/>
        </w:rPr>
        <w:t> </w:t>
      </w:r>
      <w:r>
        <w:t>:</w:t>
      </w:r>
    </w:p>
    <w:p w:rsidR="00F42EAB" w:rsidRDefault="00B67CF2" w:rsidP="008714C2">
      <w:pPr>
        <w:pStyle w:val="Listepuces"/>
        <w:tabs>
          <w:tab w:val="num" w:pos="1420"/>
        </w:tabs>
      </w:pPr>
      <w:r>
        <w:t xml:space="preserve">dans un premier temps, il s’agit pour lui de renforcer la </w:t>
      </w:r>
      <w:r w:rsidRPr="008714C2">
        <w:rPr>
          <w:rStyle w:val="Accentuation"/>
        </w:rPr>
        <w:t>consistance</w:t>
      </w:r>
      <w:r>
        <w:t xml:space="preserve"> du territoire considéré, compte rendu de l’hétérogénéité des territoires considérées, ce travail d’identification peu prendre de nombreuses années ;</w:t>
      </w:r>
    </w:p>
    <w:p w:rsidR="00F42EAB" w:rsidRDefault="00B67CF2" w:rsidP="008714C2">
      <w:pPr>
        <w:pStyle w:val="Listepuces"/>
        <w:tabs>
          <w:tab w:val="num" w:pos="1420"/>
        </w:tabs>
      </w:pPr>
      <w:r>
        <w:t>dans un second temps, il s’agira plutôt de promouvoir cette nouvelle entité au plan industriel, social, culturel, touristique... pour l’imposer en tant que telle face aux régions concurrentes.</w:t>
      </w:r>
    </w:p>
    <w:p w:rsidR="00461B5C" w:rsidRDefault="00461B5C" w:rsidP="00461B5C">
      <w:pPr>
        <w:pStyle w:val="Listepuces"/>
        <w:numPr>
          <w:ilvl w:val="0"/>
          <w:numId w:val="0"/>
        </w:numPr>
      </w:pPr>
    </w:p>
    <w:p w:rsidR="00B67CF2" w:rsidRDefault="00B67CF2" w:rsidP="00A07AFC">
      <w:pPr>
        <w:pStyle w:val="Corpsdetexte"/>
      </w:pPr>
      <w:r>
        <w:t xml:space="preserve">Ainsi, le texte du dernier Contrat de Plan Etat-Région Aquitaine s’articule autour d’images fortes afin de différencier des territoires à développer, et dont la situation critique appelle toute les solidarités, et notamment celle nationales et communautaires. Le document rappelle à ce propos combien sont </w:t>
      </w:r>
      <w:r w:rsidRPr="008714C2">
        <w:rPr>
          <w:rStyle w:val="Accentuation"/>
        </w:rPr>
        <w:t>déshérités</w:t>
      </w:r>
      <w:r>
        <w:t xml:space="preserve"> (d’un point de vue humain et matériel) ces territoires. Dans un deuxième temps, il n’est plus question que de compétitivité des entreprises, d’aides à l’export, ou, quand les ressources locales en matière économique sont trop inexistantes, de préservation et de valorisation des atouts naturels, l’amélioration de l’environnement territorial (qui poserait explicitement un jugement de valeur sur la situation actuelle) n’étant perçu que </w:t>
      </w:r>
      <w:r w:rsidRPr="008714C2">
        <w:rPr>
          <w:rStyle w:val="Accentuation"/>
        </w:rPr>
        <w:t>de surcroît</w:t>
      </w:r>
      <w:r>
        <w:t>, résultat (gratuit) d’une dynamique purement locale de développement.</w:t>
      </w:r>
    </w:p>
    <w:p w:rsidR="00B67CF2" w:rsidRPr="00137D7B" w:rsidRDefault="00B67CF2" w:rsidP="00A07AFC">
      <w:pPr>
        <w:pStyle w:val="Titre3"/>
      </w:pPr>
      <w:bookmarkStart w:id="105" w:name="_Toc336716659"/>
      <w:bookmarkStart w:id="106" w:name="_Toc398658453"/>
      <w:r w:rsidRPr="00137D7B">
        <w:t>La prise en compte des représentations dans l’analyse territoriale</w:t>
      </w:r>
      <w:bookmarkEnd w:id="105"/>
      <w:bookmarkEnd w:id="106"/>
    </w:p>
    <w:p w:rsidR="00B67CF2" w:rsidRDefault="00B67CF2" w:rsidP="00A07AFC">
      <w:pPr>
        <w:pStyle w:val="Corpsdetexte"/>
      </w:pPr>
      <w:r>
        <w:t>La prise en compte des représentations</w:t>
      </w:r>
      <w:r>
        <w:rPr>
          <w:rStyle w:val="Appelnotedebasdep"/>
          <w:sz w:val="22"/>
        </w:rPr>
        <w:footnoteReference w:id="103"/>
      </w:r>
      <w:r>
        <w:t xml:space="preserve"> est plus que l’introduction d’une variable supplémentaire, car retenir comme pertinentes les représentations en matière d’aménagement, c’est d’abord privilégier l’acteur. Il s’agit d’une approche qui met l’accent non plus sur les facteurs et les comportements observables mais sur la dimension symbolique, sur la signification, sur l’intelligibilité qu’a l’acteur de </w:t>
      </w:r>
      <w:r>
        <w:lastRenderedPageBreak/>
        <w:t>la réalité qui l’entoure. « </w:t>
      </w:r>
      <w:r w:rsidRPr="008714C2">
        <w:rPr>
          <w:rStyle w:val="Accentuation"/>
        </w:rPr>
        <w:t>La prise en compte simultanée du concept de territorialité d’une part, et de représentation d’autre part, permet d’enrichir la réflexion déjà longue sur l’aménagement. Ce concept de représentation va de pair avec l’idée de dynamisme interne(de) territoires progressivement construits</w:t>
      </w:r>
      <w:r>
        <w:t> »</w:t>
      </w:r>
      <w:r>
        <w:rPr>
          <w:rStyle w:val="Appelnotedebasdep"/>
          <w:sz w:val="22"/>
        </w:rPr>
        <w:footnoteReference w:id="104"/>
      </w:r>
      <w:r>
        <w:t>.</w:t>
      </w:r>
    </w:p>
    <w:p w:rsidR="00B67CF2" w:rsidRDefault="00B67CF2" w:rsidP="00A07AFC">
      <w:pPr>
        <w:pStyle w:val="Corpsdetexte"/>
      </w:pPr>
      <w:r>
        <w:t xml:space="preserve">Cette approche pose que le sujet ou le groupe aborde et évolue son </w:t>
      </w:r>
      <w:r w:rsidRPr="008714C2">
        <w:rPr>
          <w:rStyle w:val="Accentuation"/>
        </w:rPr>
        <w:t>territoire</w:t>
      </w:r>
      <w:r>
        <w:t xml:space="preserve"> avec un ensemble de schèmes interprétatifs, une réalité éventuellement différente, toujours personnelle, une réalité représentée, c’est à dire appropriée, structurée, orientée, proche delà réalité du sujet !</w:t>
      </w:r>
    </w:p>
    <w:p w:rsidR="00B67CF2" w:rsidRDefault="00B67CF2" w:rsidP="00A07AFC">
      <w:pPr>
        <w:pStyle w:val="Corpsdetexte"/>
      </w:pPr>
      <w:r>
        <w:t>L’hypothèse sous-jacente étant que les comportements des sujets ou des groupes ne sont pas déterminés par les caractéristiques objectives de la situation mais par la représentation de cette situation, il en va de même pour le territoire.</w:t>
      </w:r>
    </w:p>
    <w:p w:rsidR="00B67CF2" w:rsidRDefault="00B67CF2" w:rsidP="00A07AFC">
      <w:pPr>
        <w:pStyle w:val="Corpsdetexte"/>
      </w:pPr>
      <w:r>
        <w:t>Dès lors une question centrale apparaît : comment ces représentations sont-elles organisées et quel sont les facteurs qui déterminent cette organisation et sa transformation éventuelle ?</w:t>
      </w:r>
    </w:p>
    <w:p w:rsidR="00B67CF2" w:rsidRDefault="00B67CF2" w:rsidP="00A07AFC">
      <w:pPr>
        <w:pStyle w:val="Corpsdetexte"/>
      </w:pPr>
      <w:r>
        <w:t>Pour répondre à cette interrogation, les approches portant sur les relations entre représentations et comportements utilisent généralement le paradigme du jeu expér</w:t>
      </w:r>
      <w:r w:rsidR="00C826F6">
        <w:t>imental, plus connu sous le nom</w:t>
      </w:r>
      <w:r>
        <w:t xml:space="preserve"> de dilemme du prisonnier. Il s’agit en fait de montrer que les comportements de l’acteur ne sont pas déterminé par le comportement effectif des partenaires, mais par la représentation que l’acteur à de ce partenaire. </w:t>
      </w:r>
      <w:r w:rsidR="00340134">
        <w:t>La</w:t>
      </w:r>
      <w:r>
        <w:t xml:space="preserve"> représentation de l’autre (ou des autres) agissant comme un filtre interprétatif :</w:t>
      </w:r>
    </w:p>
    <w:p w:rsidR="00B67CF2" w:rsidRDefault="00B67CF2" w:rsidP="008714C2">
      <w:pPr>
        <w:pStyle w:val="Listepuces"/>
        <w:tabs>
          <w:tab w:val="num" w:pos="1420"/>
        </w:tabs>
      </w:pPr>
      <w:r>
        <w:t>la représentation du partenaire détermine le niveau de coopération atteint dans chaque situation : la représentation d’un partenaire</w:t>
      </w:r>
      <w:r w:rsidRPr="008714C2">
        <w:rPr>
          <w:rStyle w:val="Accentuation"/>
        </w:rPr>
        <w:t xml:space="preserve"> humain</w:t>
      </w:r>
      <w:r>
        <w:t xml:space="preserve">, de </w:t>
      </w:r>
      <w:r w:rsidRPr="008714C2">
        <w:rPr>
          <w:rStyle w:val="Accentuation"/>
        </w:rPr>
        <w:t>proximité</w:t>
      </w:r>
      <w:r>
        <w:t xml:space="preserve"> favorisant la coopération ;</w:t>
      </w:r>
    </w:p>
    <w:p w:rsidR="00B67CF2" w:rsidRDefault="00B67CF2" w:rsidP="008714C2">
      <w:pPr>
        <w:pStyle w:val="Listepuces"/>
        <w:tabs>
          <w:tab w:val="num" w:pos="1420"/>
        </w:tabs>
      </w:pPr>
      <w:r>
        <w:t>la représentation du partenaire joue un rôle plus important que le comportement effectif, en particulier dans la première phase de l’interaction.</w:t>
      </w:r>
    </w:p>
    <w:p w:rsidR="00B67CF2" w:rsidRDefault="00B67CF2" w:rsidP="00A07AFC">
      <w:pPr>
        <w:pStyle w:val="Corpsdetexte"/>
      </w:pPr>
      <w:r>
        <w:t xml:space="preserve">L’existence de ces représentations préalables à l’interaction (l’acteur est déjà investi de caractéristiques particulières) permet de comprendre que dans bon nombre de politiques de développement </w:t>
      </w:r>
      <w:r w:rsidRPr="008714C2">
        <w:rPr>
          <w:rStyle w:val="Accentuation"/>
        </w:rPr>
        <w:t>les jeux soient faits à l’avance</w:t>
      </w:r>
      <w:r>
        <w:t xml:space="preserve">, indépendamment de la réalité de </w:t>
      </w:r>
      <w:r w:rsidRPr="008714C2">
        <w:rPr>
          <w:rStyle w:val="Accentuation"/>
        </w:rPr>
        <w:t>l’autre</w:t>
      </w:r>
      <w:r>
        <w:t>.</w:t>
      </w:r>
    </w:p>
    <w:p w:rsidR="00B67CF2" w:rsidRDefault="00B67CF2" w:rsidP="00A07AFC">
      <w:pPr>
        <w:pStyle w:val="Corpsdetexte"/>
      </w:pPr>
      <w:r>
        <w:lastRenderedPageBreak/>
        <w:t xml:space="preserve">La représentation précède l’action, la prédétermine. Elle est déjà </w:t>
      </w:r>
      <w:r w:rsidRPr="008714C2">
        <w:rPr>
          <w:rStyle w:val="Accentuation"/>
        </w:rPr>
        <w:t>une action sur la réalité sociale</w:t>
      </w:r>
      <w:r>
        <w:t>.</w:t>
      </w:r>
    </w:p>
    <w:p w:rsidR="00B67CF2" w:rsidRDefault="00B67CF2" w:rsidP="00A07AFC">
      <w:pPr>
        <w:pStyle w:val="Corpsdetexte"/>
      </w:pPr>
      <w:r>
        <w:t xml:space="preserve">Il convient alors de souligner l’importance que revêt pour les différents acteurs en présence, la compréhension des dynamiques, de </w:t>
      </w:r>
      <w:r w:rsidR="00C826F6">
        <w:t>ses rigidités</w:t>
      </w:r>
      <w:r>
        <w:t xml:space="preserve"> et de ses potentiels d’évolution, du système territorial. « </w:t>
      </w:r>
      <w:r w:rsidRPr="008714C2">
        <w:rPr>
          <w:rStyle w:val="Accentuation"/>
        </w:rPr>
        <w:t>L’observation et l’analyse du poids de la territorialité dans les stratégies d’acteurs pourraient permettre d’évaluer les processus de développement non pas à partir des ressources ou des potentiels existant sur tel ou tel espace, mais plutôt à partir du mode de construction dans un espace de proximité des relations formelles et informelles entre acteurs et institutions</w:t>
      </w:r>
      <w:r>
        <w:t> »</w:t>
      </w:r>
      <w:r>
        <w:rPr>
          <w:rStyle w:val="Appelnotedebasdep"/>
          <w:sz w:val="22"/>
        </w:rPr>
        <w:footnoteReference w:id="105"/>
      </w:r>
      <w:r>
        <w:t>.</w:t>
      </w:r>
    </w:p>
    <w:p w:rsidR="00B67CF2" w:rsidRDefault="00B67CF2" w:rsidP="002C7BAC">
      <w:pPr>
        <w:pStyle w:val="Titre2"/>
      </w:pPr>
      <w:bookmarkStart w:id="107" w:name="_Toc336716660"/>
      <w:bookmarkStart w:id="108" w:name="_Toc398658454"/>
      <w:r>
        <w:t>La construction d’un modèle permettant de réintroduire une liaison représentation-territorialité</w:t>
      </w:r>
      <w:bookmarkEnd w:id="107"/>
      <w:bookmarkEnd w:id="108"/>
    </w:p>
    <w:p w:rsidR="00B67CF2" w:rsidRDefault="00B67CF2" w:rsidP="00A07AFC">
      <w:pPr>
        <w:pStyle w:val="Corpsdetexte"/>
      </w:pPr>
      <w:r>
        <w:t>Ce modèle ne sera en rien objectif et encore moins exhaustif. Mais, si nous l’avons bien choisi, il présentera l’avantage de fournir une référence conceptue</w:t>
      </w:r>
      <w:r w:rsidR="00C826F6">
        <w:t>lle à partir de laquelle il ser</w:t>
      </w:r>
      <w:r>
        <w:t>a possible d’engager une réflexion sur l’intégration en un même schéma interprétatif de la sphère environnementale et du territoire local.</w:t>
      </w:r>
    </w:p>
    <w:p w:rsidR="00B67CF2" w:rsidRDefault="00B67CF2" w:rsidP="00A07AFC">
      <w:pPr>
        <w:pStyle w:val="Corpsdetexte"/>
        <w:rPr>
          <w:sz w:val="22"/>
        </w:rPr>
      </w:pPr>
      <w:r>
        <w:t>Notre approche se centrera moins sur la nature des éléments qui ne peuvent être atteints à l’état isolé mais sur les interactions entre ces éléments. En fait la fonction que nous assignons à ce modèle est de nous fournir un schéma directeur qui pourra nous servir de base à l’élaboration d’hypothèses explicatives sur l’organisation des interrelations entre les compos</w:t>
      </w:r>
      <w:r>
        <w:rPr>
          <w:sz w:val="22"/>
        </w:rPr>
        <w:t>antes d’un système territorial.</w:t>
      </w:r>
    </w:p>
    <w:p w:rsidR="00B67CF2" w:rsidRPr="00137D7B" w:rsidRDefault="00B67CF2" w:rsidP="00A07AFC">
      <w:pPr>
        <w:pStyle w:val="Titre3"/>
      </w:pPr>
      <w:bookmarkStart w:id="109" w:name="_Toc298915318"/>
      <w:bookmarkStart w:id="110" w:name="_Toc298915760"/>
      <w:bookmarkStart w:id="111" w:name="_Toc336716661"/>
      <w:bookmarkStart w:id="112" w:name="_Toc398658455"/>
      <w:r w:rsidRPr="00137D7B">
        <w:t>La métaphore du panoptique : une idée d’architecture pour construire notre modèle de référence</w:t>
      </w:r>
      <w:bookmarkEnd w:id="109"/>
      <w:bookmarkEnd w:id="110"/>
      <w:bookmarkEnd w:id="111"/>
      <w:bookmarkEnd w:id="112"/>
    </w:p>
    <w:p w:rsidR="00F42EAB" w:rsidRDefault="00B67CF2" w:rsidP="00A07AFC">
      <w:pPr>
        <w:pStyle w:val="Corpsdetexte"/>
      </w:pPr>
      <w:r>
        <w:t>Cette métaphore</w:t>
      </w:r>
      <w:r>
        <w:rPr>
          <w:rStyle w:val="Appelnotedebasdep"/>
          <w:sz w:val="22"/>
        </w:rPr>
        <w:footnoteReference w:id="106"/>
      </w:r>
      <w:r>
        <w:t xml:space="preserve"> peut constituer une clé intéressante dans le cadre de cette recherche. Si l’on admet que l’objet d’une politique de développement est avant tout d’organiser les représentations de la territorialité des acteurs afin de renforcer </w:t>
      </w:r>
      <w:r>
        <w:lastRenderedPageBreak/>
        <w:t>leur proximité, alors le panoptique</w:t>
      </w:r>
      <w:r>
        <w:rPr>
          <w:rStyle w:val="Appelnotedebasdep"/>
          <w:sz w:val="22"/>
        </w:rPr>
        <w:footnoteReference w:id="107"/>
      </w:r>
      <w:r>
        <w:t xml:space="preserve"> de Bentham possède tous les éléments nécessaires pour nous permettre de poser les principales articulations de notre modèle.</w:t>
      </w:r>
    </w:p>
    <w:p w:rsidR="00B67CF2" w:rsidRDefault="00B67CF2" w:rsidP="00A07AFC">
      <w:pPr>
        <w:pStyle w:val="Corpsdetexte"/>
      </w:pPr>
      <w:r>
        <w:t>Rappelons rapidement le principe du panoptique pour introduire notre analyse. La prison panoptique est construite dans un bâtiment circulaire, de manière à ce que chaque cellule s’ouvre sur son centre, où est placée la tour d’inspection. Chaque cellule est ouverte de part et d’autre, de façon à se laisser traverser par la lumière. L’inspecteur, placé au centre de ce bâtiment circulaire, peut ainsi voir, en même temps et sans bouger, toutes les silhouettes de tous les prisonniers. Le mirador où siège l’inspecteur est entouré de jalousies afin que l’autorité puisse voir, sans être vue. « </w:t>
      </w:r>
      <w:r w:rsidRPr="008714C2">
        <w:rPr>
          <w:rStyle w:val="Accentuation"/>
        </w:rPr>
        <w:t>Le panoptique est une machine à dissocier le couple voir-être vu : dans l’anneau périphérique, on est totalement vu, sans jamais voir ; de la tour centrale, on voit sans jamais être vu</w:t>
      </w:r>
      <w:r>
        <w:t> »</w:t>
      </w:r>
      <w:r>
        <w:rPr>
          <w:rStyle w:val="Appelnotedebasdep"/>
          <w:sz w:val="22"/>
        </w:rPr>
        <w:footnoteReference w:id="108"/>
      </w:r>
      <w:r>
        <w:t>.</w:t>
      </w:r>
    </w:p>
    <w:p w:rsidR="00B67CF2" w:rsidRDefault="00B67CF2" w:rsidP="00A07AFC">
      <w:pPr>
        <w:pStyle w:val="Corpsdetexte"/>
      </w:pPr>
      <w:r>
        <w:t>La présentation de cette simple idée d’architecture s’ouvre ainsi à l’Assemblée Nationale française en 1791 : « Si l’on trouvait un moyen de se rendre maître de tout ce qui peut arriver à un certain nombre d’hommes, de disposer tout ce qui les environne, de manière à opérer sur eux l’impression que l’on veut produire, de s’assurer de leurs actions, de leurs liaisons, de toutes les circonstances de leur vie, en sorte que rien ne pût échapper ni contrarier l’effet désiré, on ne peut pas douter qu’un moyen de cette espèce ne fût un instrument très énergique et très utile que les gouvernements pourraient appliquer à différents objets de la plus haute importance ».</w:t>
      </w:r>
    </w:p>
    <w:p w:rsidR="00F42EAB" w:rsidRDefault="00B67CF2" w:rsidP="00A07AFC">
      <w:pPr>
        <w:pStyle w:val="Corpsdetexte"/>
      </w:pPr>
      <w:r>
        <w:t>Le principe d’une visibilité permanente, la création d’une situation de certitude maintenue est à la base du panoptique. Bentham pose ainsi le problème de la visibilité, ici entièrement organisée autour d’un regard dominateur.</w:t>
      </w:r>
    </w:p>
    <w:p w:rsidR="00B67CF2" w:rsidRDefault="00B67CF2" w:rsidP="00A07AFC">
      <w:pPr>
        <w:pStyle w:val="Corpsdetexte"/>
      </w:pPr>
      <w:r>
        <w:t xml:space="preserve">Nous pensons que pour l’entreprise en développement, le problème est de même </w:t>
      </w:r>
      <w:r w:rsidRPr="008714C2">
        <w:rPr>
          <w:rStyle w:val="Accentuation"/>
        </w:rPr>
        <w:t>forme</w:t>
      </w:r>
      <w:r>
        <w:t xml:space="preserve">, </w:t>
      </w:r>
      <w:proofErr w:type="spellStart"/>
      <w:r>
        <w:t>se</w:t>
      </w:r>
      <w:proofErr w:type="spellEnd"/>
      <w:r>
        <w:t xml:space="preserve"> qu’elle cherche à faire, c’est organiser à son profit les </w:t>
      </w:r>
      <w:r w:rsidRPr="008714C2">
        <w:rPr>
          <w:rStyle w:val="Accentuation"/>
        </w:rPr>
        <w:t>cellules</w:t>
      </w:r>
      <w:r>
        <w:t xml:space="preserve"> où se situent ses partenaires pour subordonner à sa stratégie leur potentiel d’action. Ainsi la création d’un </w:t>
      </w:r>
      <w:r w:rsidRPr="008714C2">
        <w:rPr>
          <w:rStyle w:val="Accentuation"/>
        </w:rPr>
        <w:t>espace de visibilité</w:t>
      </w:r>
      <w:r>
        <w:t xml:space="preserve"> répond aux facteurs d’incertitude non résolus au sein du territoire. Mettant en pleine lumière afin de les maîtriser, les </w:t>
      </w:r>
      <w:r>
        <w:lastRenderedPageBreak/>
        <w:t>ressources de développement, l’acteur (individuel ou pluriel) peut alors en disposer pour atteindre ses objectifs. Le schéma I propose une représentation de cette problématique.</w:t>
      </w:r>
    </w:p>
    <w:p w:rsidR="00B67CF2" w:rsidRPr="00137D7B" w:rsidRDefault="00B67CF2" w:rsidP="00A07AFC">
      <w:pPr>
        <w:pStyle w:val="Titre3"/>
      </w:pPr>
      <w:bookmarkStart w:id="113" w:name="_Toc298915325"/>
      <w:bookmarkStart w:id="114" w:name="_Toc298915767"/>
      <w:bookmarkStart w:id="115" w:name="_Toc336716662"/>
      <w:bookmarkStart w:id="116" w:name="_Toc398658456"/>
      <w:r w:rsidRPr="00137D7B">
        <w:t>Pour conclure, un essai de</w:t>
      </w:r>
      <w:bookmarkEnd w:id="113"/>
      <w:bookmarkEnd w:id="114"/>
      <w:r w:rsidRPr="00137D7B">
        <w:t xml:space="preserve"> mise en perspective des versants théoriques et pratiques du développement territorial à travers le modèle proposé</w:t>
      </w:r>
      <w:bookmarkEnd w:id="115"/>
      <w:bookmarkEnd w:id="116"/>
    </w:p>
    <w:p w:rsidR="00B67CF2" w:rsidRDefault="00B67CF2" w:rsidP="00A07AFC">
      <w:pPr>
        <w:pStyle w:val="Corpsdetexte"/>
      </w:pPr>
      <w:r>
        <w:t xml:space="preserve">L’environnement (au sens de milieu) sera considéré ici comme un élément fondamental, au même titre que la </w:t>
      </w:r>
      <w:r w:rsidRPr="008714C2">
        <w:rPr>
          <w:rStyle w:val="Accentuation"/>
        </w:rPr>
        <w:t>localité</w:t>
      </w:r>
      <w:r>
        <w:t>. Cet environnement peut se définir comme un ensemble de domaines, avec lesquels l’entreprise entre en relation pour appréhender certains éléments clés de sa stratégie de développement.</w:t>
      </w:r>
    </w:p>
    <w:p w:rsidR="00B67CF2" w:rsidRPr="008714C2" w:rsidRDefault="00B67CF2" w:rsidP="00A07AFC">
      <w:pPr>
        <w:pStyle w:val="Corpsdetexte"/>
        <w:rPr>
          <w:rStyle w:val="Accentuation"/>
        </w:rPr>
      </w:pPr>
      <w:r>
        <w:t>Dans sa recherche de lien avec l’environnement chaque acteur s’appuie sur une base qui lui est propre. Ce dernier sélectionne ses relations dans sa proximité, ici appréhendée comme espace d’intelligibilité. Ceci</w:t>
      </w:r>
      <w:r w:rsidRPr="008714C2">
        <w:rPr>
          <w:rStyle w:val="Accentuation"/>
        </w:rPr>
        <w:t xml:space="preserve"> « suppose que l’acteur est constamment en recherche (</w:t>
      </w:r>
      <w:proofErr w:type="spellStart"/>
      <w:r w:rsidRPr="008714C2">
        <w:rPr>
          <w:rStyle w:val="Accentuation"/>
        </w:rPr>
        <w:t>searching</w:t>
      </w:r>
      <w:proofErr w:type="spellEnd"/>
      <w:r w:rsidRPr="008714C2">
        <w:rPr>
          <w:rStyle w:val="Accentuation"/>
        </w:rPr>
        <w:t>) par rapport à ses attentes. Il procède par tâtonnements successifs et permanents ; mais évidemment, comme le voyant rendu soudainement aveugle par un bandeau, ce « </w:t>
      </w:r>
      <w:proofErr w:type="spellStart"/>
      <w:r w:rsidRPr="008714C2">
        <w:rPr>
          <w:rStyle w:val="Accentuation"/>
        </w:rPr>
        <w:t>searching</w:t>
      </w:r>
      <w:proofErr w:type="spellEnd"/>
      <w:r w:rsidRPr="008714C2">
        <w:rPr>
          <w:rStyle w:val="Accentuation"/>
        </w:rPr>
        <w:t> » est d’autant plus aisé qu’il se déroule dans des bornes (murs) qui délimitent un espace-repère. L’intelligibilité du « lieu » sera d’autant plus rapide que l’espace des possibles sera réduit et donc le nombre d’hypothèses à tester ainsi que leur difficulté. La présence de bornes (murs) sécurise le « chercheur ». Le vecteur principal de cet apprentissage est la proximité qui permet le contact ». « La dimension géographique de cette proximité reste cependant le plus souvent déterminante. En effet, si l’on s’attache à l’ensemble des dimensions des choix des acteurs et de leurs relations, on s’aperçoit qu’un substrat, relevant du social ou du collectif, est absolument indispensable »</w:t>
      </w:r>
      <w:r w:rsidRPr="00984F94">
        <w:rPr>
          <w:rStyle w:val="Appeldenotedefin"/>
        </w:rPr>
        <w:footnoteReference w:id="109"/>
      </w:r>
      <w:r w:rsidRPr="008714C2">
        <w:rPr>
          <w:rStyle w:val="Accentuation"/>
        </w:rPr>
        <w:t>.</w:t>
      </w:r>
    </w:p>
    <w:p w:rsidR="00340134" w:rsidRDefault="00B67CF2" w:rsidP="00A07AFC">
      <w:pPr>
        <w:pStyle w:val="Corpsdetexte"/>
      </w:pPr>
      <w:r>
        <w:t xml:space="preserve">Pour disposer des ressources </w:t>
      </w:r>
      <w:r w:rsidR="00340134">
        <w:t xml:space="preserve">du </w:t>
      </w:r>
      <w:r w:rsidR="00340134" w:rsidRPr="008714C2">
        <w:rPr>
          <w:rStyle w:val="Accentuation"/>
        </w:rPr>
        <w:t>milieu</w:t>
      </w:r>
      <w:r w:rsidR="00340134">
        <w:t xml:space="preserve"> nécessaire</w:t>
      </w:r>
      <w:r>
        <w:t xml:space="preserve"> à la concrétisation de ses objectifs, l’acteur (l’entreprise) met en </w:t>
      </w:r>
      <w:r w:rsidR="00C826F6">
        <w:t xml:space="preserve">œuvre </w:t>
      </w:r>
      <w:r>
        <w:t xml:space="preserve">et active un réseau de relations partenariales. </w:t>
      </w:r>
    </w:p>
    <w:p w:rsidR="00340134" w:rsidRDefault="00B67CF2" w:rsidP="00A07AFC">
      <w:pPr>
        <w:pStyle w:val="Corpsdetexte"/>
      </w:pPr>
      <w:r>
        <w:t xml:space="preserve">Mais afin d’exercer un maximum d’emprise sur sa destinée économique, l’entreprise recherche la stabilité dans les contours de son réseau de relations. La </w:t>
      </w:r>
      <w:r>
        <w:lastRenderedPageBreak/>
        <w:t>visibilité du partenaire</w:t>
      </w:r>
      <w:r>
        <w:rPr>
          <w:rStyle w:val="Appelnotedebasdep"/>
          <w:sz w:val="22"/>
        </w:rPr>
        <w:footnoteReference w:id="110"/>
      </w:r>
      <w:r>
        <w:t xml:space="preserve"> (</w:t>
      </w:r>
      <w:r w:rsidRPr="008714C2">
        <w:rPr>
          <w:rStyle w:val="Accentuation"/>
        </w:rPr>
        <w:t>on sait par avance comment il va réagir</w:t>
      </w:r>
      <w:r>
        <w:t>), sa fiabilité (plus que la distance physique) fonde sa démarche de recherche. L’acteur n’accède pas directement et seul au</w:t>
      </w:r>
      <w:r w:rsidR="00984F94">
        <w:t>x</w:t>
      </w:r>
      <w:r>
        <w:t xml:space="preserve"> ressources de son environnement. Il le fait à travers un processus collectif dont la proximité géographique constitue une borne. </w:t>
      </w:r>
    </w:p>
    <w:p w:rsidR="00B67CF2" w:rsidRDefault="00B67CF2" w:rsidP="00A07AFC">
      <w:pPr>
        <w:pStyle w:val="Corpsdetexte"/>
      </w:pPr>
      <w:r>
        <w:t>Dans cette perspective, « </w:t>
      </w:r>
      <w:r w:rsidRPr="008714C2">
        <w:rPr>
          <w:rStyle w:val="Accentuation"/>
        </w:rPr>
        <w:t>le territoire constitue l’espace particulier qui permet d’opérer une médiation entre l’individu, son groupe d’appartenance, l’extérieur ainsi qu’une coordination entre plusieurs justifications de l’action (marchande, domestique, civile, industrielle, etc.)</w:t>
      </w:r>
      <w:r w:rsidR="00984F94">
        <w:t> »</w:t>
      </w:r>
      <w:r>
        <w:rPr>
          <w:rStyle w:val="Appelnotedebasdep"/>
          <w:sz w:val="22"/>
        </w:rPr>
        <w:footnoteReference w:id="111"/>
      </w:r>
      <w:r>
        <w:t xml:space="preserve">. Le repérage des moyens mis en </w:t>
      </w:r>
      <w:r w:rsidR="00C826F6">
        <w:t>œuvre,</w:t>
      </w:r>
      <w:r>
        <w:t xml:space="preserve"> informels ou contractualisés, permettant à l’entreprise d’identifier ses partenaires d’appui, apparaît à cet égard une piste qu’il semble souhaitable d’étudier préalablement à toute mise en place de réseaux partenariaux d’échange.</w:t>
      </w:r>
    </w:p>
    <w:p w:rsidR="00340134" w:rsidRDefault="00B67CF2" w:rsidP="00A07AFC">
      <w:pPr>
        <w:pStyle w:val="Corpsdetexte"/>
      </w:pPr>
      <w:r>
        <w:t xml:space="preserve">L’entreprise (ou tout autre acteur) construit un </w:t>
      </w:r>
      <w:r w:rsidRPr="008714C2">
        <w:rPr>
          <w:rStyle w:val="Accentuation"/>
        </w:rPr>
        <w:t>territoire</w:t>
      </w:r>
      <w:r>
        <w:t xml:space="preserve"> d’appui subordonné à sa str</w:t>
      </w:r>
      <w:r w:rsidR="00C826F6">
        <w:t>atégie de développement. De par</w:t>
      </w:r>
      <w:r>
        <w:t xml:space="preserve"> </w:t>
      </w:r>
      <w:r w:rsidR="00C826F6">
        <w:t>le caractère</w:t>
      </w:r>
      <w:r>
        <w:t xml:space="preserve"> le plus souvent </w:t>
      </w:r>
      <w:r w:rsidR="00C826F6">
        <w:t>immatériel des apports attendus</w:t>
      </w:r>
      <w:r>
        <w:t xml:space="preserve">, les partenaires hors </w:t>
      </w:r>
      <w:r w:rsidRPr="008714C2">
        <w:rPr>
          <w:rStyle w:val="Accentuation"/>
        </w:rPr>
        <w:t>zone géographique</w:t>
      </w:r>
      <w:r>
        <w:t xml:space="preserve"> (mais intra-territorial) vont se rencontrer au niveau des strates urbaines les plus élevées (ce qui représente pour eux un facteur essentiel de </w:t>
      </w:r>
      <w:r w:rsidRPr="008714C2">
        <w:rPr>
          <w:rStyle w:val="Accentuation"/>
        </w:rPr>
        <w:t xml:space="preserve">leur </w:t>
      </w:r>
      <w:r>
        <w:t xml:space="preserve">territorialité). Toute stratégie de renouveau de la dynamique territoriale devrait ainsi faire apparaître une structure multipolaire, dont les points d’ancrages spatiaux seront autant dépendants des caractéristiques intrinsèques des ressources que des caractéristiques territoriales (valeurs, représentations...) des acteurs en présence. </w:t>
      </w:r>
    </w:p>
    <w:p w:rsidR="00984F94" w:rsidRDefault="00B67CF2" w:rsidP="00A07AFC">
      <w:pPr>
        <w:pStyle w:val="Corpsdetexte"/>
      </w:pPr>
      <w:r>
        <w:t>De</w:t>
      </w:r>
      <w:r w:rsidR="00C826F6">
        <w:t xml:space="preserve"> ce point de vue</w:t>
      </w:r>
      <w:r>
        <w:t xml:space="preserve">, on comprendra que, malgré le besoin de disposer de nouvelles ressources, le déficit de proximité engendré par l’éloignement physique puisse être générateur de grande difficultés pour l’acteur dans la structuration de son réseau d’appui. Le </w:t>
      </w:r>
      <w:r w:rsidR="00C826F6">
        <w:t>problème</w:t>
      </w:r>
      <w:r>
        <w:t xml:space="preserve"> n’est alors plus de classer (par des frontières, des états, des politiques puis des objectifs) les espaces géographiques en projet de développement mais bien de saisir les modes spécifiques d’accompagnement à partir de la conjonction entre les représentations des acteurs territoriaux (définissant les normes, les valeurs, les objectifs, les moyens...) et les ressources locales. </w:t>
      </w:r>
    </w:p>
    <w:p w:rsidR="00B67CF2" w:rsidRDefault="00B67CF2" w:rsidP="00A07AFC">
      <w:pPr>
        <w:pStyle w:val="Corpsdetexte"/>
      </w:pPr>
      <w:r>
        <w:lastRenderedPageBreak/>
        <w:t>Nous pourrions ainsi mieux « </w:t>
      </w:r>
      <w:r w:rsidRPr="008714C2">
        <w:rPr>
          <w:rStyle w:val="Accentuation"/>
        </w:rPr>
        <w:t>tenir compte des</w:t>
      </w:r>
      <w:r>
        <w:t xml:space="preserve"> </w:t>
      </w:r>
      <w:r w:rsidRPr="008714C2">
        <w:rPr>
          <w:rStyle w:val="Accentuation"/>
        </w:rPr>
        <w:t>attitudes passive</w:t>
      </w:r>
      <w:r w:rsidR="00C826F6">
        <w:rPr>
          <w:rStyle w:val="Accentuation"/>
        </w:rPr>
        <w:t>s d’une population démunie qui a</w:t>
      </w:r>
      <w:r w:rsidRPr="008714C2">
        <w:rPr>
          <w:rStyle w:val="Accentuation"/>
        </w:rPr>
        <w:t xml:space="preserve"> été dépossédée de sa capacité d’imaginer son avenir, sa réalité humaine et sociale ayant été réduite à des « problèmes » de plus en plus morcelés, soumise au bon vouloir d’innombrables interventions publiques qui n’ont d’autre projet d’avenir que de chercher à se reproduire elles-mêmes</w:t>
      </w:r>
      <w:r>
        <w:t> »</w:t>
      </w:r>
      <w:r>
        <w:rPr>
          <w:rStyle w:val="Appelnotedebasdep"/>
          <w:sz w:val="22"/>
        </w:rPr>
        <w:footnoteReference w:id="112"/>
      </w:r>
      <w:r>
        <w:t>.</w:t>
      </w:r>
    </w:p>
    <w:p w:rsidR="00B67CF2" w:rsidRDefault="00B67CF2" w:rsidP="008714C2">
      <w:pPr>
        <w:pStyle w:val="Titre1"/>
      </w:pPr>
      <w:bookmarkStart w:id="117" w:name="_Toc336716665"/>
      <w:bookmarkStart w:id="118" w:name="_Toc398658457"/>
      <w:r>
        <w:lastRenderedPageBreak/>
        <w:t>Bibliographie</w:t>
      </w:r>
      <w:bookmarkEnd w:id="117"/>
      <w:bookmarkEnd w:id="118"/>
    </w:p>
    <w:p w:rsidR="00B67CF2" w:rsidRDefault="00B67CF2" w:rsidP="00A07AFC">
      <w:pPr>
        <w:pStyle w:val="Corpsdetexte"/>
      </w:pPr>
      <w:r>
        <w:rPr>
          <w:caps/>
        </w:rPr>
        <w:t>Allefresde</w:t>
      </w:r>
      <w:r>
        <w:t xml:space="preserve"> M., « Ambiguïtés et confusions sur le concept de développement », in </w:t>
      </w:r>
      <w:r>
        <w:rPr>
          <w:u w:val="single"/>
        </w:rPr>
        <w:t>La formation-</w:t>
      </w:r>
      <w:proofErr w:type="spellStart"/>
      <w:r>
        <w:rPr>
          <w:u w:val="single"/>
        </w:rPr>
        <w:t>developpement</w:t>
      </w:r>
      <w:proofErr w:type="spellEnd"/>
      <w:r>
        <w:rPr>
          <w:u w:val="single"/>
        </w:rPr>
        <w:t>. Les actes</w:t>
      </w:r>
      <w:r>
        <w:t>, Syros-</w:t>
      </w:r>
      <w:proofErr w:type="spellStart"/>
      <w:r>
        <w:t>Adels</w:t>
      </w:r>
      <w:proofErr w:type="spellEnd"/>
      <w:r>
        <w:t>, Paris. 1989.</w:t>
      </w:r>
    </w:p>
    <w:p w:rsidR="00B67CF2" w:rsidRDefault="00B67CF2" w:rsidP="00A07AFC">
      <w:pPr>
        <w:pStyle w:val="Corpsdetexte"/>
      </w:pPr>
      <w:r>
        <w:t>Commissariat Général du Plan, « </w:t>
      </w:r>
      <w:r>
        <w:rPr>
          <w:u w:val="single"/>
        </w:rPr>
        <w:t>Guide du diagnostic pour le développement rural »</w:t>
      </w:r>
      <w:r>
        <w:t>, SEGESA, Paris, 1991.</w:t>
      </w:r>
    </w:p>
    <w:p w:rsidR="00F42EAB" w:rsidRDefault="00B67CF2" w:rsidP="00A07AFC">
      <w:pPr>
        <w:pStyle w:val="Corpsdetexte"/>
      </w:pPr>
      <w:r>
        <w:t>Commissariat Général du Plan, « </w:t>
      </w:r>
      <w:r>
        <w:rPr>
          <w:u w:val="single"/>
        </w:rPr>
        <w:t>Le rôle déterminant de l’industrie »</w:t>
      </w:r>
      <w:r>
        <w:t>, la Documentation Française, Paris, 1992.</w:t>
      </w:r>
    </w:p>
    <w:p w:rsidR="00B67CF2" w:rsidRDefault="00B67CF2" w:rsidP="00A07AFC">
      <w:pPr>
        <w:pStyle w:val="Corpsdetexte"/>
      </w:pPr>
      <w:r>
        <w:t xml:space="preserve">Commission des Communautés Européennes, « le programme intégré en faveur des PME et de l’artisanat », in </w:t>
      </w:r>
      <w:r>
        <w:rPr>
          <w:u w:val="single"/>
        </w:rPr>
        <w:t>EURO-info</w:t>
      </w:r>
      <w:r>
        <w:t>, n° 70, juin 1994.</w:t>
      </w:r>
    </w:p>
    <w:p w:rsidR="0032383D" w:rsidRPr="0032383D" w:rsidRDefault="00B67CF2" w:rsidP="00A07AFC">
      <w:pPr>
        <w:pStyle w:val="Corpsdetexte"/>
      </w:pPr>
      <w:r>
        <w:rPr>
          <w:caps/>
        </w:rPr>
        <w:t>C</w:t>
      </w:r>
      <w:r>
        <w:t xml:space="preserve">onseil Aquitain du Plan, « Document de travail un Plan pour l’Aquitaine, les solidarités régionales en faveur des zones menacées », </w:t>
      </w:r>
      <w:r>
        <w:rPr>
          <w:u w:val="single"/>
        </w:rPr>
        <w:t>Document de travail</w:t>
      </w:r>
      <w:r>
        <w:t>, 22 septembre, 1993.</w:t>
      </w:r>
    </w:p>
    <w:p w:rsidR="00B67CF2" w:rsidRDefault="00B67CF2" w:rsidP="00A07AFC">
      <w:pPr>
        <w:pStyle w:val="Corpsdetexte"/>
      </w:pPr>
      <w:r>
        <w:rPr>
          <w:caps/>
        </w:rPr>
        <w:t>Fourcade</w:t>
      </w:r>
      <w:r>
        <w:t xml:space="preserve"> C., « Approche des systèmes industriels locaux ; perspectives économiques : l’apport de l’économie industrielle » in </w:t>
      </w:r>
      <w:r>
        <w:rPr>
          <w:u w:val="single"/>
        </w:rPr>
        <w:t>Développement local et ensemble des PME</w:t>
      </w:r>
      <w:r>
        <w:t>, GLYSI, Lyon, 1992.</w:t>
      </w:r>
    </w:p>
    <w:p w:rsidR="00B67CF2" w:rsidRDefault="00B67CF2" w:rsidP="00A07AFC">
      <w:pPr>
        <w:pStyle w:val="Corpsdetexte"/>
      </w:pPr>
      <w:r>
        <w:rPr>
          <w:caps/>
        </w:rPr>
        <w:t>Houssel</w:t>
      </w:r>
      <w:r>
        <w:t xml:space="preserve"> J-P., « Les PME et l’industrie en milieu rural » in </w:t>
      </w:r>
      <w:r>
        <w:rPr>
          <w:u w:val="single"/>
        </w:rPr>
        <w:t>Développement local et ensemble des PME</w:t>
      </w:r>
      <w:r>
        <w:t>, GLYSI, Lyon, 1992.</w:t>
      </w:r>
    </w:p>
    <w:p w:rsidR="00B67CF2" w:rsidRDefault="00B67CF2" w:rsidP="00A07AFC">
      <w:pPr>
        <w:pStyle w:val="Corpsdetexte"/>
      </w:pPr>
      <w:r>
        <w:rPr>
          <w:caps/>
        </w:rPr>
        <w:t>Julien</w:t>
      </w:r>
      <w:r>
        <w:t xml:space="preserve"> P.-A., « </w:t>
      </w:r>
      <w:r>
        <w:rPr>
          <w:u w:val="single"/>
        </w:rPr>
        <w:t>Les PME : technologie et compétitivité</w:t>
      </w:r>
      <w:r>
        <w:t xml:space="preserve"> », OCDE &amp; Université du Québec à Trois Rivières, Canada, 1993.</w:t>
      </w:r>
    </w:p>
    <w:p w:rsidR="00B67CF2" w:rsidRDefault="00B67CF2" w:rsidP="00A07AFC">
      <w:pPr>
        <w:pStyle w:val="Corpsdetexte"/>
      </w:pPr>
      <w:r>
        <w:rPr>
          <w:caps/>
        </w:rPr>
        <w:t>Lajugie j.</w:t>
      </w:r>
      <w:r>
        <w:t xml:space="preserve">, </w:t>
      </w:r>
      <w:r>
        <w:rPr>
          <w:caps/>
        </w:rPr>
        <w:t>Delfaud P.</w:t>
      </w:r>
      <w:r>
        <w:t xml:space="preserve">, </w:t>
      </w:r>
      <w:r>
        <w:rPr>
          <w:caps/>
        </w:rPr>
        <w:t>Lacour C</w:t>
      </w:r>
      <w:r>
        <w:t>., « </w:t>
      </w:r>
      <w:r>
        <w:rPr>
          <w:u w:val="single"/>
        </w:rPr>
        <w:t>Espace régional et aménagement du territoire »</w:t>
      </w:r>
      <w:r>
        <w:t>, Dalloz, Paris, 1985.</w:t>
      </w:r>
    </w:p>
    <w:p w:rsidR="00B67CF2" w:rsidRDefault="00B67CF2" w:rsidP="00A07AFC">
      <w:pPr>
        <w:pStyle w:val="Corpsdetexte"/>
      </w:pPr>
      <w:r>
        <w:rPr>
          <w:caps/>
        </w:rPr>
        <w:t>Moles A.</w:t>
      </w:r>
      <w:proofErr w:type="gramStart"/>
      <w:r>
        <w:t>,«</w:t>
      </w:r>
      <w:proofErr w:type="gramEnd"/>
      <w:r>
        <w:t xml:space="preserve"> Vers une psycho-géographie », in </w:t>
      </w:r>
      <w:r>
        <w:rPr>
          <w:u w:val="single"/>
        </w:rPr>
        <w:t>Encyclopédie de géographie</w:t>
      </w:r>
      <w:r>
        <w:t xml:space="preserve">, (sous la direction de A. Bailly, R. Ferras, D. </w:t>
      </w:r>
      <w:proofErr w:type="spellStart"/>
      <w:r>
        <w:t>Pumain</w:t>
      </w:r>
      <w:proofErr w:type="spellEnd"/>
      <w:r>
        <w:t xml:space="preserve">), </w:t>
      </w:r>
      <w:proofErr w:type="spellStart"/>
      <w:r>
        <w:t>Economica</w:t>
      </w:r>
      <w:proofErr w:type="spellEnd"/>
      <w:r>
        <w:t>, Paris, 1992.</w:t>
      </w:r>
    </w:p>
    <w:p w:rsidR="00B67CF2" w:rsidRDefault="00B67CF2" w:rsidP="00A07AFC">
      <w:pPr>
        <w:pStyle w:val="Corpsdetexte"/>
      </w:pPr>
      <w:r>
        <w:rPr>
          <w:caps/>
        </w:rPr>
        <w:t>Thireau</w:t>
      </w:r>
      <w:r>
        <w:t xml:space="preserve"> V., « Vers un renouvellement du rôle de l’espace dans la dynamique des territoires », </w:t>
      </w:r>
      <w:r>
        <w:rPr>
          <w:u w:val="single"/>
        </w:rPr>
        <w:t>Revue d’Économie Régionale et Urbaine</w:t>
      </w:r>
      <w:r>
        <w:t>, n°2, 1993.</w:t>
      </w:r>
    </w:p>
    <w:p w:rsidR="00B67CF2" w:rsidRDefault="00B67CF2" w:rsidP="00A07AFC">
      <w:pPr>
        <w:pStyle w:val="Corpsdetexte"/>
      </w:pPr>
      <w:r>
        <w:rPr>
          <w:caps/>
        </w:rPr>
        <w:t>Torre</w:t>
      </w:r>
      <w:r>
        <w:t xml:space="preserve"> A., « Proximité géographique et dynamiques industrielles », </w:t>
      </w:r>
      <w:r>
        <w:rPr>
          <w:u w:val="single"/>
        </w:rPr>
        <w:t>Revue d’Économie Régionale et Urbaine</w:t>
      </w:r>
      <w:r>
        <w:t>, n° 3, 1993.</w:t>
      </w:r>
    </w:p>
    <w:p w:rsidR="00C826F6" w:rsidRDefault="00C826F6" w:rsidP="00C826F6">
      <w:pPr>
        <w:pStyle w:val="Corpsdetexte"/>
      </w:pPr>
      <w:bookmarkStart w:id="119" w:name="_Toc398649344"/>
    </w:p>
    <w:p w:rsidR="00CE2807" w:rsidRDefault="00CE2807" w:rsidP="00D65C0F">
      <w:pPr>
        <w:pStyle w:val="TITREHORSTM"/>
      </w:pPr>
      <w:r w:rsidRPr="007B3D60">
        <w:lastRenderedPageBreak/>
        <w:t>Table</w:t>
      </w:r>
      <w:r>
        <w:t xml:space="preserve"> des matières</w:t>
      </w:r>
      <w:bookmarkEnd w:id="119"/>
    </w:p>
    <w:p w:rsidR="00CE2807" w:rsidRPr="002D5B3D" w:rsidRDefault="00CE2807" w:rsidP="002D5B3D"/>
    <w:sectPr w:rsidR="00CE2807" w:rsidRPr="002D5B3D" w:rsidSect="009415E0">
      <w:headerReference w:type="default" r:id="rId11"/>
      <w:footerReference w:type="default" r:id="rId12"/>
      <w:type w:val="continuous"/>
      <w:pgSz w:w="11907" w:h="16840" w:code="9"/>
      <w:pgMar w:top="2410" w:right="1985" w:bottom="2381" w:left="1418" w:header="737" w:footer="113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2463" w:rsidRDefault="004B2463">
      <w:r>
        <w:separator/>
      </w:r>
    </w:p>
    <w:p w:rsidR="004B2463" w:rsidRDefault="004B2463"/>
  </w:endnote>
  <w:endnote w:type="continuationSeparator" w:id="0">
    <w:p w:rsidR="004B2463" w:rsidRDefault="004B2463">
      <w:r>
        <w:continuationSeparator/>
      </w:r>
    </w:p>
    <w:p w:rsidR="004B2463" w:rsidRDefault="004B246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osterBodoni BT">
    <w:altName w:val="Georgia"/>
    <w:charset w:val="00"/>
    <w:family w:val="roman"/>
    <w:pitch w:val="variable"/>
    <w:sig w:usb0="00000001" w:usb1="00000000" w:usb2="00000000" w:usb3="00000000" w:csb0="0000001B"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6F6" w:rsidRPr="009415E0" w:rsidRDefault="00C826F6" w:rsidP="009415E0">
    <w:pPr>
      <w:pStyle w:val="Pieddepage"/>
      <w:jc w:val="right"/>
    </w:pPr>
    <w:r>
      <w:t>TD gea / Pascal COUSSAUD</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6874702"/>
      <w:docPartObj>
        <w:docPartGallery w:val="Page Numbers (Bottom of Page)"/>
        <w:docPartUnique/>
      </w:docPartObj>
    </w:sdtPr>
    <w:sdtContent>
      <w:p w:rsidR="00C826F6" w:rsidRDefault="00C826F6" w:rsidP="00340134">
        <w:pPr>
          <w:pStyle w:val="Pieddepage"/>
          <w:jc w:val="right"/>
        </w:pPr>
        <w:r>
          <w:fldChar w:fldCharType="begin"/>
        </w:r>
        <w:r>
          <w:instrText>PAGE   \* MERGEFORMAT</w:instrText>
        </w:r>
        <w:r>
          <w:fldChar w:fldCharType="separate"/>
        </w:r>
        <w:r w:rsidR="00A61BD2">
          <w:rPr>
            <w:noProof/>
          </w:rPr>
          <w:t>20</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2463" w:rsidRDefault="004B2463" w:rsidP="000676CD">
      <w:r>
        <w:separator/>
      </w:r>
    </w:p>
  </w:footnote>
  <w:footnote w:type="continuationSeparator" w:id="0">
    <w:p w:rsidR="004B2463" w:rsidRDefault="004B2463">
      <w:r>
        <w:continuationSeparator/>
      </w:r>
    </w:p>
    <w:p w:rsidR="004B2463" w:rsidRDefault="004B2463"/>
  </w:footnote>
  <w:footnote w:id="1">
    <w:p w:rsidR="00C826F6" w:rsidRDefault="00C826F6" w:rsidP="008879F3">
      <w:pPr>
        <w:pStyle w:val="Notedebasdepage"/>
      </w:pPr>
      <w:r>
        <w:rPr>
          <w:rStyle w:val="Appelnotedebasdep"/>
        </w:rPr>
        <w:footnoteRef/>
      </w:r>
      <w:r>
        <w:t>C. Lacour, 1993.</w:t>
      </w:r>
    </w:p>
  </w:footnote>
  <w:footnote w:id="2">
    <w:p w:rsidR="00C826F6" w:rsidRDefault="00C826F6" w:rsidP="00B67CF2">
      <w:pPr>
        <w:pStyle w:val="Notedebasdepage"/>
      </w:pPr>
      <w:r>
        <w:rPr>
          <w:rStyle w:val="Appelnotedebasdep"/>
        </w:rPr>
        <w:footnoteRef/>
      </w:r>
      <w:r>
        <w:t xml:space="preserve"> B. Ganne, 1992.</w:t>
      </w:r>
    </w:p>
  </w:footnote>
  <w:footnote w:id="3">
    <w:p w:rsidR="00C826F6" w:rsidRDefault="00C826F6" w:rsidP="00B67CF2">
      <w:pPr>
        <w:pStyle w:val="Notedebasdepage"/>
      </w:pPr>
      <w:r>
        <w:rPr>
          <w:rStyle w:val="Appelnotedebasdep"/>
        </w:rPr>
        <w:footnoteRef/>
      </w:r>
      <w:r>
        <w:t xml:space="preserve"> Ministère des Entreprises et du Développement Économique chargé des Petites et Moyennes Entreprises et du Commerce et de l’Artisanat, 1993.</w:t>
      </w:r>
    </w:p>
  </w:footnote>
  <w:footnote w:id="4">
    <w:p w:rsidR="00C826F6" w:rsidRDefault="00C826F6" w:rsidP="00B67CF2">
      <w:pPr>
        <w:pStyle w:val="Notedebasdepage"/>
      </w:pPr>
      <w:r>
        <w:rPr>
          <w:rStyle w:val="Appelnotedebasdep"/>
        </w:rPr>
        <w:footnoteRef/>
      </w:r>
      <w:r>
        <w:t xml:space="preserve"> F. </w:t>
      </w:r>
      <w:proofErr w:type="spellStart"/>
      <w:r>
        <w:t>Rangeon</w:t>
      </w:r>
      <w:proofErr w:type="spellEnd"/>
      <w:r>
        <w:t>, 1993.</w:t>
      </w:r>
    </w:p>
  </w:footnote>
  <w:footnote w:id="5">
    <w:p w:rsidR="00C826F6" w:rsidRDefault="00C826F6" w:rsidP="00B67CF2">
      <w:pPr>
        <w:pStyle w:val="Notedebasdepage"/>
      </w:pPr>
      <w:r>
        <w:rPr>
          <w:rStyle w:val="Appelnotedebasdep"/>
        </w:rPr>
        <w:footnoteRef/>
      </w:r>
      <w:r>
        <w:t xml:space="preserve"> « Les régions qui connaissent les plus forts taux de développement du point de vue du PIB et des créations d’emploi sont celles où la part des PMI (en particulier les petites entreprises de moins de 100 salariés) dans la valeur ajoutée régionale est la plus forte. Les autorités territoriales cherchent donc à soutenir le développement des petites entreprises en mettant en place une logistique à destination des petites firmes : la petite entreprise devient alors un enjeu du développement local. Les dynamiques des deux systèmes, ensemble de petites entreprises, d’une part, système territorial, d’autre part, entrent en interaction. Le développement de l’un des systèmes influe sur celui de l’autre; cette interaction renforce évidemment leurs relations », C. Fourcade, 1993.</w:t>
      </w:r>
    </w:p>
  </w:footnote>
  <w:footnote w:id="6">
    <w:p w:rsidR="00C826F6" w:rsidRDefault="00C826F6" w:rsidP="00B67CF2">
      <w:pPr>
        <w:pStyle w:val="Notedebasdepage"/>
      </w:pPr>
      <w:r>
        <w:rPr>
          <w:rStyle w:val="Appelnotedebasdep"/>
        </w:rPr>
        <w:footnoteRef/>
      </w:r>
      <w:r>
        <w:t xml:space="preserve">A. </w:t>
      </w:r>
      <w:proofErr w:type="spellStart"/>
      <w:r>
        <w:t>Michelsons</w:t>
      </w:r>
      <w:proofErr w:type="spellEnd"/>
      <w:r>
        <w:t>, 1992.</w:t>
      </w:r>
    </w:p>
  </w:footnote>
  <w:footnote w:id="7">
    <w:p w:rsidR="00C826F6" w:rsidRDefault="00C826F6" w:rsidP="00B67CF2">
      <w:pPr>
        <w:pStyle w:val="Notedebasdepage"/>
      </w:pPr>
      <w:r>
        <w:rPr>
          <w:rStyle w:val="Appelnotedebasdep"/>
        </w:rPr>
        <w:footnoteRef/>
      </w:r>
      <w:r>
        <w:t>C. Lacour, 1993.</w:t>
      </w:r>
    </w:p>
  </w:footnote>
  <w:footnote w:id="8">
    <w:p w:rsidR="00C826F6" w:rsidRDefault="00C826F6" w:rsidP="00B67CF2">
      <w:pPr>
        <w:pStyle w:val="Notedebasdepage"/>
      </w:pPr>
      <w:r>
        <w:rPr>
          <w:rStyle w:val="Appelnotedebasdep"/>
        </w:rPr>
        <w:footnoteRef/>
      </w:r>
      <w:r>
        <w:t>« Dans le champ des interventions concernant le développement économique et social, on fait très fréquemment une nette distinction entre théorie et pratique. Pourtant, on ne saurait trop insister sur le fait que la théorie et la pratique sont étroitement liées dans l’action. Un processus de développement repose sur l’action. Sans action, il n’y a pas de changement possible, mais cette action étant soutenue par des idées, sans idées il n’y a donc pas non plus de changement possible. Théorie et pratique forment un tout indissociable dans une démarche de développement: la théorie assure un cadre de référence indispensable à la définition, à la planification et à l’évaluation d’actions portées sur le terrain de la pratique », B. Vachon, 1993.</w:t>
      </w:r>
    </w:p>
  </w:footnote>
  <w:footnote w:id="9">
    <w:p w:rsidR="00C826F6" w:rsidRDefault="00C826F6" w:rsidP="00B67CF2">
      <w:pPr>
        <w:pStyle w:val="Notedebasdepage"/>
      </w:pPr>
      <w:r>
        <w:rPr>
          <w:rStyle w:val="Appelnotedebasdep"/>
        </w:rPr>
        <w:footnoteRef/>
      </w:r>
      <w:r>
        <w:t>CRIDEL, 1991.</w:t>
      </w:r>
    </w:p>
  </w:footnote>
  <w:footnote w:id="10">
    <w:p w:rsidR="00C826F6" w:rsidRDefault="00C826F6" w:rsidP="00B67CF2">
      <w:pPr>
        <w:pStyle w:val="Notedebasdepage"/>
      </w:pPr>
      <w:r>
        <w:rPr>
          <w:rStyle w:val="Appelnotedebasdep"/>
        </w:rPr>
        <w:footnoteRef/>
      </w:r>
      <w:r>
        <w:t>C. Lacour, 1993.</w:t>
      </w:r>
    </w:p>
  </w:footnote>
  <w:footnote w:id="11">
    <w:p w:rsidR="00C826F6" w:rsidRDefault="00C826F6" w:rsidP="00B67CF2">
      <w:pPr>
        <w:pStyle w:val="Notedebasdepage"/>
      </w:pPr>
      <w:r>
        <w:rPr>
          <w:rStyle w:val="Appelnotedebasdep"/>
        </w:rPr>
        <w:footnoteRef/>
      </w:r>
      <w:r>
        <w:t xml:space="preserve">Observatoire Européen pour </w:t>
      </w:r>
      <w:smartTag w:uri="urn:schemas-microsoft-com:office:smarttags" w:element="PersonName">
        <w:smartTagPr>
          <w:attr w:name="ProductID" w:val="la PME"/>
        </w:smartTagPr>
        <w:r>
          <w:t>la PME</w:t>
        </w:r>
      </w:smartTag>
      <w:r>
        <w:t xml:space="preserve">: deuxième rapport annuel, 1992. Ce rapport, indépendant, a été établi, à la demande de </w:t>
      </w:r>
      <w:smartTag w:uri="urn:schemas-microsoft-com:office:smarttags" w:element="PersonName">
        <w:smartTagPr>
          <w:attr w:name="ProductID" w:val="la Commission"/>
        </w:smartTagPr>
        <w:r>
          <w:t>la Commission</w:t>
        </w:r>
      </w:smartTag>
      <w:r>
        <w:t xml:space="preserve"> européenne, par douze instituts de recherche, un par État membre, regroupés au sein du réseau européen pour la recherche sur les PME.</w:t>
      </w:r>
    </w:p>
  </w:footnote>
  <w:footnote w:id="12">
    <w:p w:rsidR="00C826F6" w:rsidRDefault="00C826F6" w:rsidP="00B67CF2">
      <w:pPr>
        <w:pStyle w:val="Notedebasdepage"/>
      </w:pPr>
      <w:r>
        <w:rPr>
          <w:rStyle w:val="Appelnotedebasdep"/>
        </w:rPr>
        <w:footnoteRef/>
      </w:r>
      <w:r>
        <w:t>Dans la mesure ou il s’agissait ici d’établir des comparaisons internationales, et notamment européennes, L’étude à retenu la classification de l’Office européen de statistiques EUROSTAT:</w:t>
      </w:r>
    </w:p>
    <w:p w:rsidR="00C826F6" w:rsidRDefault="00C826F6" w:rsidP="00B67CF2">
      <w:pPr>
        <w:pStyle w:val="Notedebasdepage"/>
        <w:numPr>
          <w:ilvl w:val="0"/>
          <w:numId w:val="5"/>
        </w:numPr>
      </w:pPr>
      <w:r>
        <w:t>de 0 à 9 employés : micro-entreprise (également appelée TPE : très petite entreprise);</w:t>
      </w:r>
    </w:p>
    <w:p w:rsidR="00C826F6" w:rsidRDefault="00C826F6" w:rsidP="00B67CF2">
      <w:pPr>
        <w:pStyle w:val="Notedebasdepage"/>
        <w:numPr>
          <w:ilvl w:val="0"/>
          <w:numId w:val="5"/>
        </w:numPr>
      </w:pPr>
      <w:r>
        <w:t>de 10 à 99 employés : petite entreprise;</w:t>
      </w:r>
    </w:p>
    <w:p w:rsidR="00C826F6" w:rsidRDefault="00C826F6" w:rsidP="00B67CF2">
      <w:pPr>
        <w:pStyle w:val="Notedebasdepage"/>
        <w:numPr>
          <w:ilvl w:val="0"/>
          <w:numId w:val="5"/>
        </w:numPr>
      </w:pPr>
      <w:r>
        <w:t>de 100 à 499 employés : moyenne entreprise;</w:t>
      </w:r>
    </w:p>
    <w:p w:rsidR="00C826F6" w:rsidRDefault="00C826F6" w:rsidP="00B67CF2">
      <w:pPr>
        <w:pStyle w:val="Notedebasdepage"/>
        <w:numPr>
          <w:ilvl w:val="0"/>
          <w:numId w:val="5"/>
        </w:numPr>
      </w:pPr>
      <w:r>
        <w:t>500 employés et plus : grande entreprise.</w:t>
      </w:r>
    </w:p>
    <w:p w:rsidR="00C826F6" w:rsidRDefault="00C826F6" w:rsidP="00B67CF2">
      <w:pPr>
        <w:pStyle w:val="Notedebasdepage"/>
        <w:numPr>
          <w:ilvl w:val="0"/>
          <w:numId w:val="5"/>
        </w:numPr>
      </w:pPr>
      <w:r>
        <w:t xml:space="preserve">Pour EUROSTAT, l’expression de SME (Small and Medium-Size </w:t>
      </w:r>
      <w:proofErr w:type="spellStart"/>
      <w:r>
        <w:t>Enterprises</w:t>
      </w:r>
      <w:proofErr w:type="spellEnd"/>
      <w:r>
        <w:t>) ne concerne que les catégories 2 et 3. Les plus petites sont des « micro-entreprises » (ou TPE). Les statistiques européennes, en général, ne distinguent pas, parmi les TPE, celles qui n’ont pas de salariés, car certains pays-membres ne fournissent pas cette information.</w:t>
      </w:r>
    </w:p>
  </w:footnote>
  <w:footnote w:id="13">
    <w:p w:rsidR="00C826F6" w:rsidRDefault="00C826F6" w:rsidP="00B67CF2">
      <w:pPr>
        <w:pStyle w:val="Notedebasdepage"/>
      </w:pPr>
      <w:r>
        <w:rPr>
          <w:rStyle w:val="Appelnotedebasdep"/>
        </w:rPr>
        <w:footnoteRef/>
      </w:r>
      <w:r>
        <w:t>J. Thibaud, 1988.</w:t>
      </w:r>
    </w:p>
  </w:footnote>
  <w:footnote w:id="14">
    <w:p w:rsidR="00C826F6" w:rsidRDefault="00C826F6" w:rsidP="00B67CF2">
      <w:pPr>
        <w:pStyle w:val="Notedebasdepage"/>
      </w:pPr>
      <w:r>
        <w:rPr>
          <w:rStyle w:val="Appelnotedebasdep"/>
        </w:rPr>
        <w:footnoteRef/>
      </w:r>
      <w:r>
        <w:t xml:space="preserve">H. </w:t>
      </w:r>
      <w:proofErr w:type="spellStart"/>
      <w:r>
        <w:t>Novelli</w:t>
      </w:r>
      <w:proofErr w:type="spellEnd"/>
      <w:r>
        <w:t>, 1994.</w:t>
      </w:r>
    </w:p>
  </w:footnote>
  <w:footnote w:id="15">
    <w:p w:rsidR="00C826F6" w:rsidRDefault="00C826F6" w:rsidP="00B67CF2">
      <w:pPr>
        <w:pStyle w:val="Notedebasdepage"/>
      </w:pPr>
      <w:r>
        <w:rPr>
          <w:rStyle w:val="Appelnotedebasdep"/>
        </w:rPr>
        <w:footnoteRef/>
      </w:r>
      <w:r>
        <w:t>Ministère du Commerce et de l’Artisanat, 1992.</w:t>
      </w:r>
    </w:p>
  </w:footnote>
  <w:footnote w:id="16">
    <w:p w:rsidR="00C826F6" w:rsidRDefault="00C826F6" w:rsidP="00B67CF2">
      <w:pPr>
        <w:pStyle w:val="Notedebasdepage"/>
      </w:pPr>
      <w:r>
        <w:rPr>
          <w:rStyle w:val="Appelnotedebasdep"/>
        </w:rPr>
        <w:footnoteRef/>
      </w:r>
      <w:r>
        <w:t xml:space="preserve"> Circulaire interministérielle du 30 mai 1960.</w:t>
      </w:r>
    </w:p>
  </w:footnote>
  <w:footnote w:id="17">
    <w:p w:rsidR="00C826F6" w:rsidRDefault="00C826F6" w:rsidP="00B67CF2">
      <w:pPr>
        <w:pStyle w:val="Notedebasdepage"/>
      </w:pPr>
      <w:r>
        <w:rPr>
          <w:rStyle w:val="Appelnotedebasdep"/>
        </w:rPr>
        <w:footnoteRef/>
      </w:r>
      <w:r>
        <w:t xml:space="preserve"> ENA, 1993.</w:t>
      </w:r>
    </w:p>
  </w:footnote>
  <w:footnote w:id="18">
    <w:p w:rsidR="00C826F6" w:rsidRDefault="00C826F6" w:rsidP="00B67CF2">
      <w:pPr>
        <w:pStyle w:val="Notedebasdepage"/>
      </w:pPr>
      <w:r>
        <w:rPr>
          <w:rStyle w:val="Appelnotedebasdep"/>
        </w:rPr>
        <w:footnoteRef/>
      </w:r>
      <w:r>
        <w:t xml:space="preserve"> Sous l’impulsion du Comité Interministériel d’Aménagement du Territoire (C.I.A.T).</w:t>
      </w:r>
    </w:p>
  </w:footnote>
  <w:footnote w:id="19">
    <w:p w:rsidR="00C826F6" w:rsidRDefault="00C826F6" w:rsidP="00B67CF2">
      <w:pPr>
        <w:pStyle w:val="Notedebasdepage"/>
      </w:pPr>
      <w:r>
        <w:rPr>
          <w:rStyle w:val="Appelnotedebasdep"/>
        </w:rPr>
        <w:footnoteRef/>
      </w:r>
      <w:r>
        <w:t>Le rapport préparatoire au IX</w:t>
      </w:r>
      <w:r>
        <w:rPr>
          <w:vertAlign w:val="superscript"/>
        </w:rPr>
        <w:t>ème</w:t>
      </w:r>
      <w:r>
        <w:t xml:space="preserve"> Plan prônait « la mise en place des systèmes locaux comme remède aux structures très éclatées caractérisant jusqu’alors les échelons locaux (et visait) comme il est dit à « recomposer les communautés » et à retrouver « les territoires de solidarité » et les « synergies sociales »; le « développement local » n’est-il pas ce qui permet de « donner un contenu social et économique à la décentralisation en permettant d’élaborer de nouvelles valeurs collectives »? Tant il est vrai que le problème n’est plus de « réguler » le local mais de le mobiliser comme « facette d’un projet de société ». Le « local » devient ainsi un projet politique », B. Ganne, 1992.</w:t>
      </w:r>
    </w:p>
  </w:footnote>
  <w:footnote w:id="20">
    <w:p w:rsidR="00C826F6" w:rsidRDefault="00C826F6" w:rsidP="00B67CF2">
      <w:pPr>
        <w:pStyle w:val="Notedebasdepage"/>
      </w:pPr>
      <w:r>
        <w:rPr>
          <w:rStyle w:val="Appelnotedebasdep"/>
        </w:rPr>
        <w:footnoteRef/>
      </w:r>
      <w:r>
        <w:t>JF. Poncet, 1994.</w:t>
      </w:r>
    </w:p>
  </w:footnote>
  <w:footnote w:id="21">
    <w:p w:rsidR="00C826F6" w:rsidRDefault="00C826F6" w:rsidP="00B67CF2">
      <w:pPr>
        <w:pStyle w:val="Notedebasdepage"/>
      </w:pPr>
      <w:r>
        <w:rPr>
          <w:rStyle w:val="Appelnotedebasdep"/>
        </w:rPr>
        <w:footnoteRef/>
      </w:r>
      <w:r>
        <w:t>Délimitées en application du paragraphe 5b du règlement CEE du 24 juin 1988, portant réforme des fonds structurels européens.</w:t>
      </w:r>
    </w:p>
  </w:footnote>
  <w:footnote w:id="22">
    <w:p w:rsidR="00C826F6" w:rsidRDefault="00C826F6" w:rsidP="00B67CF2">
      <w:pPr>
        <w:pStyle w:val="Notedebasdepage"/>
      </w:pPr>
      <w:r>
        <w:rPr>
          <w:rStyle w:val="Appelnotedebasdep"/>
        </w:rPr>
        <w:footnoteRef/>
      </w:r>
      <w:r>
        <w:t xml:space="preserve">Concernant l’objectif 5b, 17 régions françaises ont bénéficié de la solidarité communautaire au travers d’un cofinancement européen qui sera accordé sur 31 % du territoire national, grâce à l’intervention conjuguée du F.E.O.G.A, du F.E.D.ER. </w:t>
      </w:r>
      <w:proofErr w:type="gramStart"/>
      <w:r>
        <w:t>et</w:t>
      </w:r>
      <w:proofErr w:type="gramEnd"/>
      <w:r>
        <w:t xml:space="preserve"> du F.S.E., en s’ajoutant aux montants contractualisés dans le cadre du volet Z.R.F. des contrats de plan. Globalement le volet Z.R.F. des contrats de plan Etat-régions représente un effort financier de plus de 4 milliards de </w:t>
      </w:r>
      <w:proofErr w:type="spellStart"/>
      <w:r>
        <w:t>fr.</w:t>
      </w:r>
      <w:proofErr w:type="spellEnd"/>
      <w:r>
        <w:t xml:space="preserve"> de 1989-1993 dont principalement 1,1 milliard du ministère de l’Agriculture et de </w:t>
      </w:r>
      <w:smartTag w:uri="urn:schemas-microsoft-com:office:smarttags" w:element="PersonName">
        <w:smartTagPr>
          <w:attr w:name="ProductID" w:val="la For￪t"/>
        </w:smartTagPr>
        <w:r>
          <w:t>la Forêt</w:t>
        </w:r>
      </w:smartTag>
      <w:r>
        <w:t>, 1,4 milliard au titre du F.I.D.A.R. et environ 1,5 milliard des Régions.</w:t>
      </w:r>
    </w:p>
  </w:footnote>
  <w:footnote w:id="23">
    <w:p w:rsidR="00C826F6" w:rsidRDefault="00C826F6" w:rsidP="00B67CF2">
      <w:pPr>
        <w:pStyle w:val="Notedebasdepage"/>
      </w:pPr>
      <w:r>
        <w:rPr>
          <w:rStyle w:val="Appelnotedebasdep"/>
        </w:rPr>
        <w:footnoteRef/>
      </w:r>
      <w:r>
        <w:t>Commission des Communautés Européennes, 1994.</w:t>
      </w:r>
    </w:p>
  </w:footnote>
  <w:footnote w:id="24">
    <w:p w:rsidR="00C826F6" w:rsidRDefault="00C826F6" w:rsidP="00B67CF2">
      <w:pPr>
        <w:pStyle w:val="Notedebasdepage"/>
      </w:pPr>
      <w:r>
        <w:rPr>
          <w:rStyle w:val="Appelnotedebasdep"/>
        </w:rPr>
        <w:footnoteRef/>
      </w:r>
      <w:r>
        <w:t>CRIDEL, 1991.</w:t>
      </w:r>
    </w:p>
  </w:footnote>
  <w:footnote w:id="25">
    <w:p w:rsidR="00C826F6" w:rsidRDefault="00C826F6" w:rsidP="00B67CF2">
      <w:pPr>
        <w:pStyle w:val="Notedebasdepage"/>
      </w:pPr>
      <w:r>
        <w:rPr>
          <w:rStyle w:val="Appelnotedebasdep"/>
        </w:rPr>
        <w:footnoteRef/>
      </w:r>
      <w:r>
        <w:t xml:space="preserve">Les actions nouvelles en faveur des PME et de l’Artisanat, adoptées par </w:t>
      </w:r>
      <w:smartTag w:uri="urn:schemas-microsoft-com:office:smarttags" w:element="PersonName">
        <w:smartTagPr>
          <w:attr w:name="ProductID" w:val="la Commission"/>
        </w:smartTagPr>
        <w:r>
          <w:t>la Commission</w:t>
        </w:r>
      </w:smartTag>
      <w:r>
        <w:t xml:space="preserve"> européenne le 25 mai 1994, qui entend rassembler dans un cadre global et cohérent les différentes initiatives déjà en cours et à proposer de nouvelles actions à mettre en oeuvre en partenariat avec toutes les parties concernées par le développement des PME au niveau communautaire, national et régional, EURO-info, juin 1994.</w:t>
      </w:r>
    </w:p>
  </w:footnote>
  <w:footnote w:id="26">
    <w:p w:rsidR="00C826F6" w:rsidRDefault="00C826F6" w:rsidP="00B67CF2">
      <w:pPr>
        <w:pStyle w:val="Notedebasdepage"/>
      </w:pPr>
      <w:r>
        <w:rPr>
          <w:rStyle w:val="Appelnotedebasdep"/>
        </w:rPr>
        <w:footnoteRef/>
      </w:r>
      <w:r>
        <w:t>Et notamment les zones de développement rural (objectif 5b). Ces zones rurales à bas niveau de développement ont été sélectionnées en fonction de trois critères cumulés tenant compte des moyennes communautaires:</w:t>
      </w:r>
    </w:p>
    <w:p w:rsidR="00C826F6" w:rsidRDefault="00C826F6" w:rsidP="00B67CF2">
      <w:pPr>
        <w:pStyle w:val="Notedebasdepage"/>
        <w:numPr>
          <w:ilvl w:val="0"/>
          <w:numId w:val="5"/>
        </w:numPr>
      </w:pPr>
      <w:r>
        <w:t>le taux de l’emploi agricole dans l’emploi total,</w:t>
      </w:r>
    </w:p>
    <w:p w:rsidR="00C826F6" w:rsidRDefault="00C826F6" w:rsidP="00B67CF2">
      <w:pPr>
        <w:pStyle w:val="Notedebasdepage"/>
        <w:numPr>
          <w:ilvl w:val="0"/>
          <w:numId w:val="5"/>
        </w:numPr>
      </w:pPr>
      <w:r>
        <w:t>le niveau de revenu agricole (exprimé notamment en valeur ajoutée agricole par unité de travail agricole),</w:t>
      </w:r>
    </w:p>
    <w:p w:rsidR="00C826F6" w:rsidRDefault="00C826F6" w:rsidP="00B67CF2">
      <w:pPr>
        <w:pStyle w:val="Notedebasdepage"/>
        <w:numPr>
          <w:ilvl w:val="0"/>
          <w:numId w:val="5"/>
        </w:numPr>
      </w:pPr>
      <w:r>
        <w:t>le niveau de développement socio-économique (apprécié sur la base du PIB /habitant).</w:t>
      </w:r>
    </w:p>
    <w:p w:rsidR="00C826F6" w:rsidRDefault="00C826F6" w:rsidP="00B67CF2">
      <w:pPr>
        <w:pStyle w:val="Notedebasdepage"/>
      </w:pPr>
      <w:r>
        <w:t xml:space="preserve">S’y ajoutent des critères dérogatoires établis pour tenir compte des déséquilibres socio-économiques ainsi que des conséquences de la réforme le </w:t>
      </w:r>
      <w:smartTag w:uri="urn:schemas-microsoft-com:office:smarttags" w:element="PersonName">
        <w:smartTagPr>
          <w:attr w:name="ProductID" w:val="la Politique Agricole"/>
        </w:smartTagPr>
        <w:r>
          <w:t>la Politique Agricole</w:t>
        </w:r>
      </w:smartTag>
      <w:r>
        <w:t xml:space="preserve"> Commune. Après avis des structures agricoles et du développement rural, la délimitation des zones rurales pour </w:t>
      </w:r>
      <w:smartTag w:uri="urn:schemas-microsoft-com:office:smarttags" w:element="PersonName">
        <w:smartTagPr>
          <w:attr w:name="ProductID" w:val="la France"/>
        </w:smartTagPr>
        <w:r>
          <w:t>la France</w:t>
        </w:r>
      </w:smartTag>
      <w:r>
        <w:t>, s’est appuyée sur les « zones rurales d’intervention prioritaire » définies dans les X</w:t>
      </w:r>
      <w:r>
        <w:rPr>
          <w:vertAlign w:val="superscript"/>
        </w:rPr>
        <w:t>ème</w:t>
      </w:r>
      <w:r>
        <w:t xml:space="preserve"> contrats État-Régions.</w:t>
      </w:r>
    </w:p>
  </w:footnote>
  <w:footnote w:id="27">
    <w:p w:rsidR="00C826F6" w:rsidRDefault="00C826F6" w:rsidP="00B67CF2">
      <w:pPr>
        <w:pStyle w:val="Notedebasdepage"/>
      </w:pPr>
      <w:r>
        <w:rPr>
          <w:rStyle w:val="Appelnotedebasdep"/>
        </w:rPr>
        <w:footnoteRef/>
      </w:r>
      <w:r>
        <w:t>La première expérimentation d’une ORAC en 1988 s’est déroulée sur le canton de Bourganeuf qui comptait alors 7800 habitants dont 3400 dans le bourg centre, au sein d’une région sinistrée ayant perdu 35 % d’emplois entre 1985 et 1989.</w:t>
      </w:r>
    </w:p>
  </w:footnote>
  <w:footnote w:id="28">
    <w:p w:rsidR="00C826F6" w:rsidRDefault="00C826F6" w:rsidP="00B67CF2">
      <w:pPr>
        <w:pStyle w:val="Notedebasdepage"/>
      </w:pPr>
      <w:r>
        <w:rPr>
          <w:rStyle w:val="Appelnotedebasdep"/>
        </w:rPr>
        <w:footnoteRef/>
      </w:r>
      <w:r>
        <w:t>Conseil Aquitain du Plan, 1995.</w:t>
      </w:r>
    </w:p>
  </w:footnote>
  <w:footnote w:id="29">
    <w:p w:rsidR="00C826F6" w:rsidRDefault="00C826F6" w:rsidP="00B67CF2">
      <w:pPr>
        <w:pStyle w:val="Notedebasdepage"/>
      </w:pPr>
      <w:r>
        <w:rPr>
          <w:rStyle w:val="Appelnotedebasdep"/>
        </w:rPr>
        <w:footnoteRef/>
      </w:r>
      <w:r>
        <w:t>Idem.</w:t>
      </w:r>
    </w:p>
  </w:footnote>
  <w:footnote w:id="30">
    <w:p w:rsidR="00C826F6" w:rsidRDefault="00C826F6" w:rsidP="00B67CF2">
      <w:pPr>
        <w:pStyle w:val="Notedebasdepage"/>
      </w:pPr>
      <w:r>
        <w:rPr>
          <w:rStyle w:val="Appelnotedebasdep"/>
        </w:rPr>
        <w:footnoteRef/>
      </w:r>
      <w:r>
        <w:t>« Ces opérations concernent les zones rurales fragiles et doivent porter sur des zones homogènes » Ministère du Commerce et de l’Artisanat, 1990.</w:t>
      </w:r>
    </w:p>
  </w:footnote>
  <w:footnote w:id="31">
    <w:p w:rsidR="00C826F6" w:rsidRDefault="00C826F6" w:rsidP="00B67CF2">
      <w:pPr>
        <w:pStyle w:val="Notedebasdepage"/>
      </w:pPr>
      <w:r>
        <w:rPr>
          <w:rStyle w:val="Appelnotedebasdep"/>
        </w:rPr>
        <w:footnoteRef/>
      </w:r>
      <w:r>
        <w:t xml:space="preserve"> « Pour avoir un impact, l’ORAC doit concerner un pays où le tissu des petites entreprises est suffisamment dense pour qu’au minimum 15 d’entre elles adhèrent à l’opération », Ministère du Commerce et de l’Artisanat, 1990.</w:t>
      </w:r>
    </w:p>
  </w:footnote>
  <w:footnote w:id="32">
    <w:p w:rsidR="00C826F6" w:rsidRDefault="00C826F6" w:rsidP="00B67CF2">
      <w:pPr>
        <w:pStyle w:val="Notedebasdepage"/>
      </w:pPr>
      <w:r>
        <w:rPr>
          <w:rStyle w:val="Appelnotedebasdep"/>
        </w:rPr>
        <w:footnoteRef/>
      </w:r>
      <w:r>
        <w:t>CRIDEL, 1991.</w:t>
      </w:r>
    </w:p>
  </w:footnote>
  <w:footnote w:id="33">
    <w:p w:rsidR="00C826F6" w:rsidRDefault="00C826F6" w:rsidP="00B67CF2">
      <w:pPr>
        <w:pStyle w:val="Notedebasdepage"/>
      </w:pPr>
      <w:r>
        <w:rPr>
          <w:rStyle w:val="Appelnotedebasdep"/>
        </w:rPr>
        <w:footnoteRef/>
      </w:r>
      <w:r>
        <w:t xml:space="preserve"> Annexe à la convention particulière pour les programmes de développement intégré (PDI) relative aux Opérations de Restructuration dans l’Artisanat et le Commerce (ORAC), Direction du Commerce et de l’Artisanat, Juillet 1994.</w:t>
      </w:r>
    </w:p>
  </w:footnote>
  <w:footnote w:id="34">
    <w:p w:rsidR="00C826F6" w:rsidRDefault="00C826F6" w:rsidP="00B67CF2">
      <w:pPr>
        <w:pStyle w:val="Notedebasdepage"/>
      </w:pPr>
      <w:r>
        <w:rPr>
          <w:rStyle w:val="Appelnotedebasdep"/>
        </w:rPr>
        <w:footnoteRef/>
      </w:r>
      <w:r>
        <w:t>Ces programmes sont mis en oeuvre sur les zones rurales les plus fragiles délimitées par le Comité Interministériel pour le Développement et L’Aménagement Rural (CIDAR) sous l’appellation « territoires ruraux de développement prioritaire », juin 1994.</w:t>
      </w:r>
    </w:p>
  </w:footnote>
  <w:footnote w:id="35">
    <w:p w:rsidR="00C826F6" w:rsidRDefault="00C826F6" w:rsidP="00B67CF2">
      <w:pPr>
        <w:pStyle w:val="Notedebasdepage"/>
      </w:pPr>
      <w:r>
        <w:rPr>
          <w:rStyle w:val="Appelnotedebasdep"/>
        </w:rPr>
        <w:footnoteRef/>
      </w:r>
      <w:r>
        <w:t>F. Vasseur, 1993.</w:t>
      </w:r>
    </w:p>
  </w:footnote>
  <w:footnote w:id="36">
    <w:p w:rsidR="00C826F6" w:rsidRDefault="00C826F6" w:rsidP="00B67CF2">
      <w:pPr>
        <w:pStyle w:val="Notedebasdepage"/>
      </w:pPr>
      <w:r>
        <w:rPr>
          <w:rStyle w:val="Appelnotedebasdep"/>
        </w:rPr>
        <w:footnoteRef/>
      </w:r>
      <w:r>
        <w:t>« Au travers du souci global d’aménagement et non plus seulement fonctionnel et sectoriel comme antérieurement développé d’abord au travers de la politique d’Aménagement du Territoire c’est un autre système d’intervention et de relation qui se trouve de la sorte développé et privilégié. De l’aménagement « conseillé », on passera ensuite, par le biais de systèmes d’interventions plus « horizontaux » négociés en particulier au travers des contrats « villes moyennes » et des « contrats de pays », à l’aménagement concerté ». Ces perspectives prépareront directement les reports de responsabilité effectués sur les échelons locaux par la loi de décentralisation », B. Ganne, 1992.</w:t>
      </w:r>
    </w:p>
  </w:footnote>
  <w:footnote w:id="37">
    <w:p w:rsidR="00C826F6" w:rsidRDefault="00C826F6" w:rsidP="00B67CF2">
      <w:pPr>
        <w:pStyle w:val="Notedebasdepage"/>
      </w:pPr>
      <w:r>
        <w:rPr>
          <w:rStyle w:val="Appelnotedebasdep"/>
        </w:rPr>
        <w:footnoteRef/>
      </w:r>
      <w:r>
        <w:t>F. Vasseur, 1993.</w:t>
      </w:r>
    </w:p>
  </w:footnote>
  <w:footnote w:id="38">
    <w:p w:rsidR="00C826F6" w:rsidRDefault="00C826F6" w:rsidP="00B67CF2">
      <w:pPr>
        <w:pStyle w:val="Notedebasdepage"/>
      </w:pPr>
      <w:r>
        <w:rPr>
          <w:rStyle w:val="Appelnotedebasdep"/>
        </w:rPr>
        <w:footnoteRef/>
      </w:r>
      <w:r>
        <w:t xml:space="preserve"> « Le choix de ce modèle de développement territorial reposait sur la conviction que les régions bénéficieraient des retombées de la croissance des grandes agglomérations. Or, l’application de ce modèle allait au contraire marginaliser les régions, en particulier celles des régions périphériques concentrées autour de petits centres de services », B. Vachon, 1993;</w:t>
      </w:r>
    </w:p>
  </w:footnote>
  <w:footnote w:id="39">
    <w:p w:rsidR="00C826F6" w:rsidRDefault="00C826F6" w:rsidP="00B67CF2">
      <w:pPr>
        <w:pStyle w:val="Notedebasdepage"/>
      </w:pPr>
      <w:r>
        <w:rPr>
          <w:rStyle w:val="Appelnotedebasdep"/>
        </w:rPr>
        <w:footnoteRef/>
      </w:r>
      <w:r>
        <w:t xml:space="preserve">J. </w:t>
      </w:r>
      <w:proofErr w:type="spellStart"/>
      <w:r>
        <w:t>Beauchard</w:t>
      </w:r>
      <w:proofErr w:type="spellEnd"/>
      <w:r>
        <w:t>, 1992.</w:t>
      </w:r>
    </w:p>
  </w:footnote>
  <w:footnote w:id="40">
    <w:p w:rsidR="00C826F6" w:rsidRDefault="00C826F6" w:rsidP="00B67CF2">
      <w:pPr>
        <w:pStyle w:val="Notedebasdepage"/>
      </w:pPr>
      <w:r>
        <w:rPr>
          <w:rStyle w:val="Appelnotedebasdep"/>
        </w:rPr>
        <w:footnoteRef/>
      </w:r>
      <w:r>
        <w:t xml:space="preserve">C. Longhi, M. </w:t>
      </w:r>
      <w:proofErr w:type="spellStart"/>
      <w:r>
        <w:t>Quere</w:t>
      </w:r>
      <w:proofErr w:type="spellEnd"/>
      <w:r>
        <w:t>, 1994.</w:t>
      </w:r>
    </w:p>
  </w:footnote>
  <w:footnote w:id="41">
    <w:p w:rsidR="00C826F6" w:rsidRDefault="00C826F6" w:rsidP="00B67CF2">
      <w:pPr>
        <w:pStyle w:val="Notedebasdepage"/>
      </w:pPr>
      <w:r>
        <w:rPr>
          <w:rStyle w:val="Appelnotedebasdep"/>
        </w:rPr>
        <w:footnoteRef/>
      </w:r>
      <w:r>
        <w:t>« Il ne s’agit pas de s’interroger sur l’issue d’une procédure d’affectation de ressources, mais bel et bien d’exprimer les conditions de cheminement d’un système dans un environnement non plus amorphe c’est-à-dire caractérisé par un ensemble de variables exogènes données et stables dans le temps, mais qui cristallise l’histoire même du système et imprime son évolution. Cette approche renoue avec une certaine conception marshallienne de la dynamique économique dans laquelle, in fine, les forces qui provoquent les changements sont endogènes et sont sensibles aux conditions initiales », B. Lecoq, 1993.</w:t>
      </w:r>
    </w:p>
  </w:footnote>
  <w:footnote w:id="42">
    <w:p w:rsidR="00C826F6" w:rsidRDefault="00C826F6" w:rsidP="00B67CF2">
      <w:pPr>
        <w:pStyle w:val="Notedebasdepage"/>
      </w:pPr>
      <w:r>
        <w:rPr>
          <w:rStyle w:val="Appelnotedebasdep"/>
        </w:rPr>
        <w:footnoteRef/>
      </w:r>
      <w:r>
        <w:t xml:space="preserve"> J. </w:t>
      </w:r>
      <w:proofErr w:type="spellStart"/>
      <w:r>
        <w:t>Lajugie</w:t>
      </w:r>
      <w:proofErr w:type="spellEnd"/>
      <w:r>
        <w:t xml:space="preserve">, P. </w:t>
      </w:r>
      <w:proofErr w:type="spellStart"/>
      <w:r>
        <w:t>Delfaud</w:t>
      </w:r>
      <w:proofErr w:type="spellEnd"/>
      <w:r>
        <w:t>, C. Lacour, 1985.</w:t>
      </w:r>
    </w:p>
  </w:footnote>
  <w:footnote w:id="43">
    <w:p w:rsidR="00C826F6" w:rsidRDefault="00C826F6" w:rsidP="00B67CF2">
      <w:pPr>
        <w:pStyle w:val="Notedebasdepage"/>
      </w:pPr>
      <w:r>
        <w:rPr>
          <w:rStyle w:val="Appelnotedebasdep"/>
        </w:rPr>
        <w:footnoteRef/>
      </w:r>
      <w:r>
        <w:t>Comme on le constate trop souvent pour les stages de formations au contenu pédagogique préalablement déterminé par des préoccupations qui relèvent plus de la maîtrise des coûts afférents; techniques, financiers, humains... que d’une recherche de réponses adaptées aux besoins locaux.</w:t>
      </w:r>
    </w:p>
  </w:footnote>
  <w:footnote w:id="44">
    <w:p w:rsidR="00C826F6" w:rsidRDefault="00C826F6" w:rsidP="00B67CF2">
      <w:pPr>
        <w:pStyle w:val="Notedebasdepage"/>
      </w:pPr>
      <w:r>
        <w:rPr>
          <w:rStyle w:val="Appelnotedebasdep"/>
        </w:rPr>
        <w:footnoteRef/>
      </w:r>
      <w:r>
        <w:t xml:space="preserve">A. </w:t>
      </w:r>
      <w:proofErr w:type="spellStart"/>
      <w:r>
        <w:t>Michelsons</w:t>
      </w:r>
      <w:proofErr w:type="spellEnd"/>
      <w:r>
        <w:t>, 1992.</w:t>
      </w:r>
    </w:p>
  </w:footnote>
  <w:footnote w:id="45">
    <w:p w:rsidR="00C826F6" w:rsidRDefault="00C826F6" w:rsidP="00B67CF2">
      <w:pPr>
        <w:pStyle w:val="Notedebasdepage"/>
      </w:pPr>
      <w:r>
        <w:rPr>
          <w:rStyle w:val="Appelnotedebasdep"/>
        </w:rPr>
        <w:footnoteRef/>
      </w:r>
      <w:r>
        <w:t>Selon JF. Poncet (1994), « il n’y jamais eu de politique intégrée ambitieuse accompagnée de moyens importants, envers l’espace rural. Il ne s’agissait, le plus souvent, que d’actions ponctuelles, dispersées ».</w:t>
      </w:r>
    </w:p>
  </w:footnote>
  <w:footnote w:id="46">
    <w:p w:rsidR="00C826F6" w:rsidRDefault="00C826F6" w:rsidP="00B67CF2">
      <w:pPr>
        <w:pStyle w:val="Notedebasdepage"/>
      </w:pPr>
      <w:r>
        <w:rPr>
          <w:rStyle w:val="Appelnotedebasdep"/>
        </w:rPr>
        <w:footnoteRef/>
      </w:r>
      <w:r>
        <w:t xml:space="preserve"> Par exemple, une étude réalisée préalablement à une Opération de Restructuration de l’Artisanat et du Commerce menée sur un canton viticole de </w:t>
      </w:r>
      <w:smartTag w:uri="urn:schemas-microsoft-com:office:smarttags" w:element="PersonName">
        <w:smartTagPr>
          <w:attr w:name="ProductID" w:val="la Gironde"/>
        </w:smartTagPr>
        <w:r>
          <w:t>la Gironde</w:t>
        </w:r>
      </w:smartTag>
      <w:r>
        <w:t>, avait permis de repérer, comme on pouvait s’y attendre, les dépendances économiques très fortes qui existent entre les marchés des artisans du bâtiment et une viticulture localement omniprésente. Ces conclusions n’ont toutefois pas eu d’influence sur la définition des actions de redynamisation, essentiellement intra-sectorielle, des entreprises du BTP.</w:t>
      </w:r>
    </w:p>
  </w:footnote>
  <w:footnote w:id="47">
    <w:p w:rsidR="00C826F6" w:rsidRDefault="00C826F6" w:rsidP="00B67CF2">
      <w:pPr>
        <w:pStyle w:val="Notedebasdepage"/>
      </w:pPr>
      <w:r>
        <w:rPr>
          <w:rStyle w:val="Appelnotedebasdep"/>
        </w:rPr>
        <w:footnoteRef/>
      </w:r>
      <w:r>
        <w:t xml:space="preserve">Un appel d’offre émanant de </w:t>
      </w:r>
      <w:smartTag w:uri="urn:schemas-microsoft-com:office:smarttags" w:element="PersonName">
        <w:smartTagPr>
          <w:attr w:name="ProductID" w:val="la DATAR"/>
        </w:smartTagPr>
        <w:r>
          <w:t>la DATAR</w:t>
        </w:r>
      </w:smartTag>
      <w:r>
        <w:t xml:space="preserve"> destiné à « mobiliser les milieux scientifiques » sur des problèmes concrets de développement (et notamment, avenir des espaces ruraux...) précisait que les propositions de recherche devaient comporter un niveau d’analyse « topographique » dans la mesure où « les phénomènes observés doivent pouvoir être repérés et mesurés en terme de localisation pour aboutir à des lectures spatialisées et à des constats cartographiques », DATAR, prospective et territoires, dix programmes de recherche, 1990.</w:t>
      </w:r>
    </w:p>
  </w:footnote>
  <w:footnote w:id="48">
    <w:p w:rsidR="00C826F6" w:rsidRDefault="00C826F6" w:rsidP="00B67CF2">
      <w:pPr>
        <w:pStyle w:val="Notedebasdepage"/>
      </w:pPr>
      <w:r>
        <w:rPr>
          <w:rStyle w:val="Appelnotedebasdep"/>
        </w:rPr>
        <w:footnoteRef/>
      </w:r>
      <w:r>
        <w:t xml:space="preserve">Le concept de développement « possède une vocation à la généralisation; basé sur la logique de l’économique, il développe les flux aux dépens des sources qu’il </w:t>
      </w:r>
      <w:proofErr w:type="spellStart"/>
      <w:r>
        <w:t>trivialise</w:t>
      </w:r>
      <w:proofErr w:type="spellEnd"/>
      <w:r>
        <w:t xml:space="preserve"> en fonction de ses besoins, et il va donc tendre à homogénéiser l’espace en supprimant les barrières et particularismes qui s’opposent à son action. Pour préserver son identité, le système local va tendre au contraire à protéger ses patrimoines et donc à s’isoler au moins partiellement, voire à se fermer, et l’on connaît de multiples exemples de cette tendance dans l’histoire passée et présente. Les logiques de reproduction du développement et du local semblent donc antagonistes, et leur rapprochement pour le moins un paradoxe », B. Pecqueur, 1992.</w:t>
      </w:r>
    </w:p>
  </w:footnote>
  <w:footnote w:id="49">
    <w:p w:rsidR="00C826F6" w:rsidRDefault="00C826F6" w:rsidP="00B67CF2">
      <w:pPr>
        <w:pStyle w:val="Notedebasdepage"/>
      </w:pPr>
      <w:r>
        <w:rPr>
          <w:rStyle w:val="Appelnotedebasdep"/>
        </w:rPr>
        <w:footnoteRef/>
      </w:r>
      <w:r>
        <w:t xml:space="preserve">A. </w:t>
      </w:r>
      <w:proofErr w:type="spellStart"/>
      <w:r>
        <w:t>Mela</w:t>
      </w:r>
      <w:proofErr w:type="spellEnd"/>
      <w:r>
        <w:t>, « </w:t>
      </w:r>
      <w:proofErr w:type="spellStart"/>
      <w:r>
        <w:t>Dimensione</w:t>
      </w:r>
      <w:proofErr w:type="spellEnd"/>
      <w:r>
        <w:t xml:space="preserve"> </w:t>
      </w:r>
      <w:proofErr w:type="spellStart"/>
      <w:r>
        <w:t>Socioculturali</w:t>
      </w:r>
      <w:proofErr w:type="spellEnd"/>
      <w:r>
        <w:t xml:space="preserve"> </w:t>
      </w:r>
      <w:proofErr w:type="spellStart"/>
      <w:r>
        <w:t>dello</w:t>
      </w:r>
      <w:proofErr w:type="spellEnd"/>
      <w:r>
        <w:t xml:space="preserve"> </w:t>
      </w:r>
      <w:proofErr w:type="spellStart"/>
      <w:r>
        <w:t>sviluppo</w:t>
      </w:r>
      <w:proofErr w:type="spellEnd"/>
      <w:r>
        <w:t> », Journées du Groupe Développement Local et Ensembles de PME, Lyon, 1989.</w:t>
      </w:r>
    </w:p>
  </w:footnote>
  <w:footnote w:id="50">
    <w:p w:rsidR="00C826F6" w:rsidRDefault="00C826F6" w:rsidP="00B67CF2">
      <w:pPr>
        <w:pStyle w:val="Notedebasdepage"/>
      </w:pPr>
      <w:r>
        <w:rPr>
          <w:rStyle w:val="Appelnotedebasdep"/>
        </w:rPr>
        <w:footnoteRef/>
      </w:r>
      <w:r>
        <w:t>Idem.</w:t>
      </w:r>
    </w:p>
  </w:footnote>
  <w:footnote w:id="51">
    <w:p w:rsidR="00C826F6" w:rsidRDefault="00C826F6" w:rsidP="00B67CF2">
      <w:pPr>
        <w:pStyle w:val="Notedebasdepage"/>
      </w:pPr>
      <w:r>
        <w:rPr>
          <w:rStyle w:val="Appelnotedebasdep"/>
        </w:rPr>
        <w:footnoteRef/>
      </w:r>
      <w:r>
        <w:t>B. Pecqueur, 1992.</w:t>
      </w:r>
    </w:p>
  </w:footnote>
  <w:footnote w:id="52">
    <w:p w:rsidR="00C826F6" w:rsidRDefault="00C826F6" w:rsidP="00B67CF2">
      <w:pPr>
        <w:pStyle w:val="Notedebasdepage"/>
      </w:pPr>
      <w:r>
        <w:rPr>
          <w:rStyle w:val="Appelnotedebasdep"/>
        </w:rPr>
        <w:footnoteRef/>
      </w:r>
      <w:r>
        <w:t xml:space="preserve">« On s’est sans doute beaucoup payé de mots, dans le passé, quand on parlait de « développement » à tout propos, en ajoutant une étiquette a ce terme (développement agricole, industriel...). Assimilant le développement à toute progression quantifiable, a tout progrès des chiffres macro-économiques (PNB entre autres) ou à des indicateurs statistiques. Au mieux, en période de prospérité, c’est la croissance économique (agriculture, industrie) ou spatiale (extension des villes) qui a été assurée (...) La croissance, l’aménagement, le progrès technique, le développement sont des mots qui recouvrent des réalités distinctes, pas assimilables l’une à l’autre, parfois convergentes, parfois aussi divergentes, voire antagonistes. Il a pu se produire par exemple une croissance sans développement, une croissance appauvrissante », M. </w:t>
      </w:r>
      <w:proofErr w:type="spellStart"/>
      <w:r>
        <w:t>Allefresde</w:t>
      </w:r>
      <w:proofErr w:type="spellEnd"/>
      <w:r>
        <w:t xml:space="preserve">, 1989. </w:t>
      </w:r>
    </w:p>
  </w:footnote>
  <w:footnote w:id="53">
    <w:p w:rsidR="00C826F6" w:rsidRDefault="00C826F6" w:rsidP="00B67CF2">
      <w:pPr>
        <w:pStyle w:val="Notedebasdepage"/>
      </w:pPr>
      <w:r>
        <w:rPr>
          <w:rStyle w:val="Appelnotedebasdep"/>
        </w:rPr>
        <w:footnoteRef/>
      </w:r>
      <w:r>
        <w:t xml:space="preserve"> « </w:t>
      </w:r>
      <w:proofErr w:type="gramStart"/>
      <w:r>
        <w:t>le</w:t>
      </w:r>
      <w:proofErr w:type="gramEnd"/>
      <w:r>
        <w:t xml:space="preserve"> développement local dépend de la petite entreprise. Lorsqu’il s’agit en particulier de territoires qui ne sont pas situés dans des régions de grande activité ou de tradition industrielle, les autorités locales sont en quelque sorte « contraintes » au choix d’un développement appuyé sur les petites entreprises », C. Fourcade, 1993.</w:t>
      </w:r>
    </w:p>
  </w:footnote>
  <w:footnote w:id="54">
    <w:p w:rsidR="00C826F6" w:rsidRDefault="00C826F6" w:rsidP="00B67CF2">
      <w:pPr>
        <w:pStyle w:val="Notedebasdepage"/>
      </w:pPr>
      <w:r>
        <w:rPr>
          <w:rStyle w:val="Appelnotedebasdep"/>
        </w:rPr>
        <w:footnoteRef/>
      </w:r>
      <w:r>
        <w:t>C. Fourcade, 1993.</w:t>
      </w:r>
    </w:p>
  </w:footnote>
  <w:footnote w:id="55">
    <w:p w:rsidR="00C826F6" w:rsidRDefault="00C826F6" w:rsidP="00B67CF2">
      <w:pPr>
        <w:pStyle w:val="Notedebasdepage"/>
      </w:pPr>
      <w:r>
        <w:rPr>
          <w:rStyle w:val="Appelnotedebasdep"/>
        </w:rPr>
        <w:footnoteRef/>
      </w:r>
      <w:r>
        <w:t>Idem.</w:t>
      </w:r>
    </w:p>
  </w:footnote>
  <w:footnote w:id="56">
    <w:p w:rsidR="00C826F6" w:rsidRDefault="00C826F6" w:rsidP="00B67CF2">
      <w:pPr>
        <w:pStyle w:val="Notedebasdepage"/>
      </w:pPr>
      <w:r>
        <w:rPr>
          <w:rStyle w:val="Appelnotedebasdep"/>
        </w:rPr>
        <w:footnoteRef/>
      </w:r>
      <w:r>
        <w:t>B. Vachon, 1993.</w:t>
      </w:r>
    </w:p>
  </w:footnote>
  <w:footnote w:id="57">
    <w:p w:rsidR="00C826F6" w:rsidRDefault="00C826F6" w:rsidP="00B67CF2">
      <w:pPr>
        <w:pStyle w:val="Notedebasdepage"/>
      </w:pPr>
      <w:r>
        <w:rPr>
          <w:rStyle w:val="Appelnotedebasdep"/>
        </w:rPr>
        <w:footnoteRef/>
      </w:r>
      <w:r>
        <w:t>B. Pecqueur, 1992.</w:t>
      </w:r>
    </w:p>
  </w:footnote>
  <w:footnote w:id="58">
    <w:p w:rsidR="00C826F6" w:rsidRDefault="00C826F6" w:rsidP="00B67CF2">
      <w:pPr>
        <w:pStyle w:val="Notedebasdepage"/>
      </w:pPr>
      <w:r>
        <w:rPr>
          <w:rStyle w:val="Appelnotedebasdep"/>
        </w:rPr>
        <w:footnoteRef/>
      </w:r>
      <w:r>
        <w:t>C. Fourcade, 1993.</w:t>
      </w:r>
    </w:p>
  </w:footnote>
  <w:footnote w:id="59">
    <w:p w:rsidR="00C826F6" w:rsidRDefault="00C826F6" w:rsidP="00B67CF2">
      <w:pPr>
        <w:pStyle w:val="Notedebasdepage"/>
      </w:pPr>
      <w:r>
        <w:rPr>
          <w:rStyle w:val="Appelnotedebasdep"/>
        </w:rPr>
        <w:footnoteRef/>
      </w:r>
      <w:r>
        <w:t xml:space="preserve">Pour un aperçue des travaux sur la compétitivité des petites entreprises, voir P-A. Julien, 1993, qui souligne que « la petite entreprise constitue bien un modèle particulier: elle ne peut être approchée ni comme un « modèle réduit » de firmes de taille supérieure, ni comme une étape passagère dans un processus qui conduirait nécessairement à la grande taille ». </w:t>
      </w:r>
    </w:p>
  </w:footnote>
  <w:footnote w:id="60">
    <w:p w:rsidR="00C826F6" w:rsidRDefault="00C826F6" w:rsidP="00B67CF2">
      <w:pPr>
        <w:pStyle w:val="Notedebasdepage"/>
      </w:pPr>
      <w:r>
        <w:rPr>
          <w:rStyle w:val="Appelnotedebasdep"/>
        </w:rPr>
        <w:footnoteRef/>
      </w:r>
      <w:r>
        <w:t xml:space="preserve">M </w:t>
      </w:r>
      <w:proofErr w:type="spellStart"/>
      <w:r>
        <w:t>Marchesnay</w:t>
      </w:r>
      <w:proofErr w:type="spellEnd"/>
      <w:r>
        <w:t>, 1991.</w:t>
      </w:r>
    </w:p>
  </w:footnote>
  <w:footnote w:id="61">
    <w:p w:rsidR="00C826F6" w:rsidRDefault="00C826F6" w:rsidP="00B67CF2">
      <w:pPr>
        <w:pStyle w:val="Notedebasdepage"/>
      </w:pPr>
      <w:r>
        <w:rPr>
          <w:rStyle w:val="Appelnotedebasdep"/>
        </w:rPr>
        <w:footnoteRef/>
      </w:r>
      <w:r>
        <w:t xml:space="preserve">Face à la diversité des appellations employées, </w:t>
      </w:r>
      <w:r w:rsidRPr="008714C2">
        <w:rPr>
          <w:rStyle w:val="Accentuation"/>
        </w:rPr>
        <w:t>district industriel, tissu localisé d’entreprise, groupement d’entreprises territorialisés</w:t>
      </w:r>
      <w:r>
        <w:t xml:space="preserve"> on pourrait souhaiter ici le choix et la définition d’une dénomination unique, comme le fait remarquer Philippe Trouve (1992) « il serait peut être souhaitable, compte tenu de la polysémie des termes employés, de reconsidérer la dénomination initiale de « système industriel localisé en lui préférant celle, plus pertinentes, de système productif localisé (en insistant sur les capacités d’adaptation et la prédominance des facteurs endogènes du développement), voire de système artisanal localisé ou de système micro-industriel diffus ». A l’évidence le débat n’est pas clos. </w:t>
      </w:r>
    </w:p>
  </w:footnote>
  <w:footnote w:id="62">
    <w:p w:rsidR="00C826F6" w:rsidRDefault="00C826F6" w:rsidP="00B67CF2">
      <w:pPr>
        <w:pStyle w:val="Notedebasdepage"/>
      </w:pPr>
      <w:r>
        <w:rPr>
          <w:rStyle w:val="Appelnotedebasdep"/>
        </w:rPr>
        <w:footnoteRef/>
      </w:r>
      <w:r>
        <w:t xml:space="preserve">P </w:t>
      </w:r>
      <w:proofErr w:type="spellStart"/>
      <w:r>
        <w:t>Aydalot</w:t>
      </w:r>
      <w:proofErr w:type="spellEnd"/>
      <w:r>
        <w:t>, 1986.</w:t>
      </w:r>
    </w:p>
  </w:footnote>
  <w:footnote w:id="63">
    <w:p w:rsidR="00C826F6" w:rsidRDefault="00C826F6" w:rsidP="00B67CF2">
      <w:pPr>
        <w:pStyle w:val="Notedebasdepage"/>
      </w:pPr>
      <w:r>
        <w:rPr>
          <w:rStyle w:val="Appelnotedebasdep"/>
        </w:rPr>
        <w:footnoteRef/>
      </w:r>
      <w:r>
        <w:t xml:space="preserve">C. </w:t>
      </w:r>
      <w:proofErr w:type="spellStart"/>
      <w:r>
        <w:t>Courlet</w:t>
      </w:r>
      <w:proofErr w:type="spellEnd"/>
      <w:r>
        <w:t>, 1990.</w:t>
      </w:r>
    </w:p>
  </w:footnote>
  <w:footnote w:id="64">
    <w:p w:rsidR="00C826F6" w:rsidRDefault="00C826F6" w:rsidP="00B67CF2">
      <w:pPr>
        <w:pStyle w:val="Notedebasdepage"/>
      </w:pPr>
      <w:r>
        <w:rPr>
          <w:rStyle w:val="Appelnotedebasdep"/>
        </w:rPr>
        <w:footnoteRef/>
      </w:r>
      <w:r>
        <w:t xml:space="preserve"> « </w:t>
      </w:r>
      <w:proofErr w:type="gramStart"/>
      <w:r>
        <w:t>la</w:t>
      </w:r>
      <w:proofErr w:type="gramEnd"/>
      <w:r>
        <w:t xml:space="preserve"> condition de densité minimale est très importante. On observe dans les systèmes productifs locaux une extrême concentration spatiale dans un espace restreint », Bernard Pecqueur, 1992.</w:t>
      </w:r>
    </w:p>
  </w:footnote>
  <w:footnote w:id="65">
    <w:p w:rsidR="00C826F6" w:rsidRDefault="00C826F6" w:rsidP="00B67CF2">
      <w:pPr>
        <w:pStyle w:val="Notedebasdepage"/>
      </w:pPr>
      <w:r>
        <w:rPr>
          <w:rStyle w:val="Appelnotedebasdep"/>
        </w:rPr>
        <w:footnoteRef/>
      </w:r>
      <w:r>
        <w:t>B. Lecoq, 1989.</w:t>
      </w:r>
    </w:p>
  </w:footnote>
  <w:footnote w:id="66">
    <w:p w:rsidR="00C826F6" w:rsidRDefault="00C826F6" w:rsidP="00B67CF2">
      <w:pPr>
        <w:pStyle w:val="Notedebasdepage"/>
      </w:pPr>
      <w:r>
        <w:rPr>
          <w:rStyle w:val="Appelnotedebasdep"/>
        </w:rPr>
        <w:footnoteRef/>
      </w:r>
      <w:proofErr w:type="gramStart"/>
      <w:r>
        <w:t>il</w:t>
      </w:r>
      <w:proofErr w:type="gramEnd"/>
      <w:r>
        <w:t xml:space="preserve"> faut entendre ici proximité spatiale mais également convergence des intérêts, partage d’un référentiel commun... la notion de proximité, discutée plus loin dans ce travail, ne se limite donc pas, notamment par l’influence que les réseaux exercent sur celle ci, à une dimension purement </w:t>
      </w:r>
      <w:proofErr w:type="spellStart"/>
      <w:r w:rsidRPr="008714C2">
        <w:rPr>
          <w:rStyle w:val="Accentuation"/>
        </w:rPr>
        <w:t>localiste</w:t>
      </w:r>
      <w:proofErr w:type="spellEnd"/>
      <w:r>
        <w:t xml:space="preserve">. </w:t>
      </w:r>
    </w:p>
  </w:footnote>
  <w:footnote w:id="67">
    <w:p w:rsidR="00C826F6" w:rsidRDefault="00C826F6" w:rsidP="00B67CF2">
      <w:pPr>
        <w:pStyle w:val="Notedebasdepage"/>
      </w:pPr>
      <w:r>
        <w:rPr>
          <w:rStyle w:val="Appelnotedebasdep"/>
        </w:rPr>
        <w:footnoteRef/>
      </w:r>
      <w:r>
        <w:t xml:space="preserve">« Il y a un effet d’émerveillement, d’émulation, d’échanges informels, d’interaction non tarifée, qui est propre à l’agglomération. On retrouve à nouveau le concept d’atmosphère. Ainsi, la théorie spatiale la plus structuraliste, inspiratrice des gestions administratives du territoire les plus fonctionnalistes, repose sur un impondérable, un non-mesurable, un principe d’organisation non marchand, spécifique à l’agglomération elle-même, qui peut tout au plus être amorcé et stimulé par des décisions administratives supérieures », G. </w:t>
      </w:r>
      <w:proofErr w:type="spellStart"/>
      <w:r>
        <w:t>Benko</w:t>
      </w:r>
      <w:proofErr w:type="spellEnd"/>
      <w:r>
        <w:t>, 1992.</w:t>
      </w:r>
    </w:p>
  </w:footnote>
  <w:footnote w:id="68">
    <w:p w:rsidR="00C826F6" w:rsidRDefault="00C826F6" w:rsidP="00B67CF2">
      <w:pPr>
        <w:pStyle w:val="Notedebasdepage"/>
      </w:pPr>
      <w:r>
        <w:rPr>
          <w:rStyle w:val="Appelnotedebasdep"/>
        </w:rPr>
        <w:footnoteRef/>
      </w:r>
      <w:r>
        <w:t xml:space="preserve">C. Longhi, M. </w:t>
      </w:r>
      <w:proofErr w:type="spellStart"/>
      <w:r>
        <w:t>Quere</w:t>
      </w:r>
      <w:proofErr w:type="spellEnd"/>
      <w:r>
        <w:t>, 1994.</w:t>
      </w:r>
    </w:p>
  </w:footnote>
  <w:footnote w:id="69">
    <w:p w:rsidR="00C826F6" w:rsidRDefault="00C826F6" w:rsidP="00B67CF2">
      <w:pPr>
        <w:pStyle w:val="Notedebasdepage"/>
      </w:pPr>
      <w:r>
        <w:rPr>
          <w:rStyle w:val="Appelnotedebasdep"/>
        </w:rPr>
        <w:footnoteRef/>
      </w:r>
      <w:proofErr w:type="spellStart"/>
      <w:r>
        <w:t>G.Garofoli</w:t>
      </w:r>
      <w:proofErr w:type="spellEnd"/>
      <w:r>
        <w:t>, 1992.</w:t>
      </w:r>
    </w:p>
  </w:footnote>
  <w:footnote w:id="70">
    <w:p w:rsidR="00C826F6" w:rsidRDefault="00C826F6" w:rsidP="00B67CF2">
      <w:pPr>
        <w:pStyle w:val="Notedebasdepage"/>
      </w:pPr>
      <w:r>
        <w:rPr>
          <w:rStyle w:val="Appelnotedebasdep"/>
        </w:rPr>
        <w:footnoteRef/>
      </w:r>
      <w:r>
        <w:t xml:space="preserve">Les districts étudiés en Italie présentent des densités d’entreprises très importantes, dans le val </w:t>
      </w:r>
      <w:proofErr w:type="spellStart"/>
      <w:r>
        <w:t>Vibrata</w:t>
      </w:r>
      <w:proofErr w:type="spellEnd"/>
      <w:r>
        <w:t xml:space="preserve">, 1 600 PME emploient 12 000 personnes sur un espace de 30 km2; à </w:t>
      </w:r>
      <w:proofErr w:type="spellStart"/>
      <w:r>
        <w:t>Carpi</w:t>
      </w:r>
      <w:proofErr w:type="spellEnd"/>
      <w:r>
        <w:t>, on trouve 2000 PME pour une ville de 60 000 habitants sur 30 km² ou encore le Prato, 60 000 travailleurs font vivre 300 000 personnes dans dix communes attenantes.</w:t>
      </w:r>
    </w:p>
  </w:footnote>
  <w:footnote w:id="71">
    <w:p w:rsidR="00C826F6" w:rsidRDefault="00C826F6" w:rsidP="00B67CF2">
      <w:pPr>
        <w:pStyle w:val="Notedebasdepage"/>
      </w:pPr>
      <w:r>
        <w:rPr>
          <w:rStyle w:val="Appelnotedebasdep"/>
        </w:rPr>
        <w:footnoteRef/>
      </w:r>
      <w:r>
        <w:t xml:space="preserve">En fait pas moins de 50 organismes d’appui technologique peuvent être recensés en Région Aquitaine, tous proposant leurs services aux petites entreprises. Parmi les plus connus: l'Association pour le Développement de l’Enseignement et des Recherches auprès des Universités, des Centres de Recherche et des Entreprises d’Aquitaine (ADEPA), l’Agence Régionale de l’Information Scientifique et Technique (ARIST), </w:t>
      </w:r>
      <w:smartTag w:uri="urn:schemas-microsoft-com:office:smarttags" w:element="PersonName">
        <w:smartTagPr>
          <w:attr w:name="ProductID" w:val="la Direction R￩gionale"/>
        </w:smartTagPr>
        <w:r>
          <w:t>la Direction Régionale</w:t>
        </w:r>
      </w:smartTag>
      <w:r>
        <w:t xml:space="preserve"> de l’industrie, de </w:t>
      </w:r>
      <w:smartTag w:uri="urn:schemas-microsoft-com:office:smarttags" w:element="PersonName">
        <w:smartTagPr>
          <w:attr w:name="ProductID" w:val="la Recherche"/>
        </w:smartTagPr>
        <w:r>
          <w:t>la Recherche</w:t>
        </w:r>
      </w:smartTag>
      <w:r>
        <w:t xml:space="preserve"> et de l’Environnement (DRIRE). </w:t>
      </w:r>
    </w:p>
  </w:footnote>
  <w:footnote w:id="72">
    <w:p w:rsidR="00C826F6" w:rsidRDefault="00C826F6" w:rsidP="00B67CF2">
      <w:pPr>
        <w:pStyle w:val="Notedebasdepage"/>
      </w:pPr>
      <w:r>
        <w:rPr>
          <w:rStyle w:val="Appelnotedebasdep"/>
        </w:rPr>
        <w:footnoteRef/>
      </w:r>
      <w:r>
        <w:t xml:space="preserve">Mais l’on peut penser que dans un avenir proche, les « autoroutes de l’information » vont modifier les données du problème. Les expériences menées par </w:t>
      </w:r>
      <w:smartTag w:uri="urn:schemas-microsoft-com:office:smarttags" w:element="PersonName">
        <w:smartTagPr>
          <w:attr w:name="ProductID" w:val="la Chambre"/>
        </w:smartTagPr>
        <w:r>
          <w:t>la Chambre</w:t>
        </w:r>
      </w:smartTag>
      <w:r>
        <w:t xml:space="preserve"> de Métiers de </w:t>
      </w:r>
      <w:smartTag w:uri="urn:schemas-microsoft-com:office:smarttags" w:element="PersonName">
        <w:smartTagPr>
          <w:attr w:name="ProductID" w:val="la Gironde"/>
        </w:smartTagPr>
        <w:r>
          <w:t>la Gironde</w:t>
        </w:r>
      </w:smartTag>
      <w:r>
        <w:t xml:space="preserve"> dans le domaine des serveurs télématiques d’aide au montage de projet de création d’activité artisanale et commerciale confirment que nombre d’entrepreneurs ruraux, éloignés physiquement des centres d’aides, trouvent là un avantage décisif quant à la pérennisation de leurs activités, les taux de survie des entreprises dont le créateur utilise ce service étant deux fois supérieur au taux moyen national.</w:t>
      </w:r>
    </w:p>
  </w:footnote>
  <w:footnote w:id="73">
    <w:p w:rsidR="00C826F6" w:rsidRDefault="00C826F6" w:rsidP="00B67CF2">
      <w:pPr>
        <w:pStyle w:val="Notedebasdepage"/>
      </w:pPr>
      <w:r>
        <w:rPr>
          <w:rStyle w:val="Appelnotedebasdep"/>
        </w:rPr>
        <w:footnoteRef/>
      </w:r>
      <w:r>
        <w:t xml:space="preserve">B. </w:t>
      </w:r>
      <w:proofErr w:type="spellStart"/>
      <w:r>
        <w:t>Baranger</w:t>
      </w:r>
      <w:proofErr w:type="spellEnd"/>
      <w:r>
        <w:t>, 1995.</w:t>
      </w:r>
    </w:p>
  </w:footnote>
  <w:footnote w:id="74">
    <w:p w:rsidR="00C826F6" w:rsidRDefault="00C826F6" w:rsidP="00B67CF2">
      <w:pPr>
        <w:pStyle w:val="Notedebasdepage"/>
      </w:pPr>
      <w:r>
        <w:rPr>
          <w:rStyle w:val="Appelnotedebasdep"/>
        </w:rPr>
        <w:footnoteRef/>
      </w:r>
      <w:r>
        <w:t xml:space="preserve">A. </w:t>
      </w:r>
      <w:proofErr w:type="spellStart"/>
      <w:r>
        <w:t>Michelsons</w:t>
      </w:r>
      <w:proofErr w:type="spellEnd"/>
      <w:r>
        <w:t>, 1992.</w:t>
      </w:r>
    </w:p>
  </w:footnote>
  <w:footnote w:id="75">
    <w:p w:rsidR="00C826F6" w:rsidRDefault="00C826F6" w:rsidP="00B67CF2">
      <w:pPr>
        <w:pStyle w:val="Notedebasdepage"/>
      </w:pPr>
      <w:r>
        <w:rPr>
          <w:rStyle w:val="Appelnotedebasdep"/>
        </w:rPr>
        <w:footnoteRef/>
      </w:r>
      <w:r>
        <w:t>G. Dupuis, 1994.</w:t>
      </w:r>
    </w:p>
  </w:footnote>
  <w:footnote w:id="76">
    <w:p w:rsidR="00C826F6" w:rsidRDefault="00C826F6" w:rsidP="00B67CF2">
      <w:pPr>
        <w:pStyle w:val="Notedebasdepage"/>
      </w:pPr>
      <w:r>
        <w:rPr>
          <w:rStyle w:val="Appelnotedebasdep"/>
        </w:rPr>
        <w:footnoteRef/>
      </w:r>
      <w:r>
        <w:t xml:space="preserve">D. </w:t>
      </w:r>
      <w:proofErr w:type="spellStart"/>
      <w:r>
        <w:t>Leborgne</w:t>
      </w:r>
      <w:proofErr w:type="spellEnd"/>
      <w:r>
        <w:t xml:space="preserve">, A. </w:t>
      </w:r>
      <w:proofErr w:type="spellStart"/>
      <w:r>
        <w:t>Lipietz</w:t>
      </w:r>
      <w:proofErr w:type="spellEnd"/>
      <w:r>
        <w:t>, 1988</w:t>
      </w:r>
    </w:p>
  </w:footnote>
  <w:footnote w:id="77">
    <w:p w:rsidR="00C826F6" w:rsidRDefault="00C826F6" w:rsidP="00B67CF2">
      <w:pPr>
        <w:pStyle w:val="Notedebasdepage"/>
      </w:pPr>
      <w:r>
        <w:rPr>
          <w:rStyle w:val="Appelnotedebasdep"/>
        </w:rPr>
        <w:footnoteRef/>
      </w:r>
      <w:r>
        <w:t>A. Torre, 1993.</w:t>
      </w:r>
    </w:p>
  </w:footnote>
  <w:footnote w:id="78">
    <w:p w:rsidR="00C826F6" w:rsidRDefault="00C826F6" w:rsidP="00B67CF2">
      <w:pPr>
        <w:pStyle w:val="Notedebasdepage"/>
      </w:pPr>
      <w:r>
        <w:rPr>
          <w:rStyle w:val="Appelnotedebasdep"/>
        </w:rPr>
        <w:footnoteRef/>
      </w:r>
      <w:r>
        <w:t xml:space="preserve">T </w:t>
      </w:r>
      <w:proofErr w:type="spellStart"/>
      <w:r>
        <w:t>Kirat</w:t>
      </w:r>
      <w:proofErr w:type="spellEnd"/>
      <w:r>
        <w:t>, 1993.</w:t>
      </w:r>
    </w:p>
  </w:footnote>
  <w:footnote w:id="79">
    <w:p w:rsidR="00C826F6" w:rsidRDefault="00C826F6" w:rsidP="00B67CF2">
      <w:pPr>
        <w:pStyle w:val="Notedebasdepage"/>
      </w:pPr>
      <w:r>
        <w:rPr>
          <w:rStyle w:val="Appelnotedebasdep"/>
        </w:rPr>
        <w:footnoteRef/>
      </w:r>
      <w:r>
        <w:t xml:space="preserve">A. </w:t>
      </w:r>
      <w:proofErr w:type="spellStart"/>
      <w:r>
        <w:t>Rallet</w:t>
      </w:r>
      <w:proofErr w:type="spellEnd"/>
      <w:r>
        <w:t>, 1993.</w:t>
      </w:r>
    </w:p>
  </w:footnote>
  <w:footnote w:id="80">
    <w:p w:rsidR="00C826F6" w:rsidRDefault="00C826F6" w:rsidP="00B67CF2">
      <w:pPr>
        <w:pStyle w:val="Notedebasdepage"/>
      </w:pPr>
      <w:r>
        <w:rPr>
          <w:rStyle w:val="Appelnotedebasdep"/>
        </w:rPr>
        <w:footnoteRef/>
      </w:r>
      <w:r>
        <w:t>Idem.</w:t>
      </w:r>
    </w:p>
  </w:footnote>
  <w:footnote w:id="81">
    <w:p w:rsidR="00C826F6" w:rsidRDefault="00C826F6" w:rsidP="00B67CF2">
      <w:pPr>
        <w:pStyle w:val="Notedebasdepage"/>
      </w:pPr>
      <w:r>
        <w:rPr>
          <w:rStyle w:val="Appelnotedebasdep"/>
        </w:rPr>
        <w:footnoteRef/>
      </w:r>
      <w:r>
        <w:t>Ibid.</w:t>
      </w:r>
    </w:p>
  </w:footnote>
  <w:footnote w:id="82">
    <w:p w:rsidR="00C826F6" w:rsidRDefault="00C826F6" w:rsidP="00B67CF2">
      <w:pPr>
        <w:pStyle w:val="Notedebasdepage"/>
      </w:pPr>
      <w:r>
        <w:rPr>
          <w:rStyle w:val="Appelnotedebasdep"/>
        </w:rPr>
        <w:footnoteRef/>
      </w:r>
      <w:r>
        <w:t>Une représentation est « le produit et le processus d’une activité mentale par laquelle un individu ou un groupe reconstitue le réel auquel il est confronté et lui attribue une signification spécifique », ALBRIC, 1988.</w:t>
      </w:r>
    </w:p>
  </w:footnote>
  <w:footnote w:id="83">
    <w:p w:rsidR="00C826F6" w:rsidRDefault="00C826F6" w:rsidP="00B67CF2">
      <w:pPr>
        <w:pStyle w:val="Notedebasdepage"/>
      </w:pPr>
      <w:r>
        <w:rPr>
          <w:rStyle w:val="Appelnotedebasdep"/>
        </w:rPr>
        <w:footnoteRef/>
      </w:r>
      <w:r>
        <w:t xml:space="preserve">G. </w:t>
      </w:r>
      <w:proofErr w:type="spellStart"/>
      <w:r>
        <w:t>Colletis</w:t>
      </w:r>
      <w:proofErr w:type="spellEnd"/>
      <w:r>
        <w:t xml:space="preserve"> et B. Pecqueur, 1990.</w:t>
      </w:r>
    </w:p>
  </w:footnote>
  <w:footnote w:id="84">
    <w:p w:rsidR="00C826F6" w:rsidRDefault="00C826F6" w:rsidP="00B67CF2">
      <w:pPr>
        <w:pStyle w:val="Notedebasdepage"/>
      </w:pPr>
      <w:r>
        <w:rPr>
          <w:rStyle w:val="Appelnotedebasdep"/>
        </w:rPr>
        <w:footnoteRef/>
      </w:r>
      <w:r>
        <w:t xml:space="preserve">D. </w:t>
      </w:r>
      <w:proofErr w:type="spellStart"/>
      <w:r>
        <w:t>Maillat</w:t>
      </w:r>
      <w:proofErr w:type="spellEnd"/>
      <w:r>
        <w:t>, 1990.</w:t>
      </w:r>
    </w:p>
  </w:footnote>
  <w:footnote w:id="85">
    <w:p w:rsidR="00C826F6" w:rsidRDefault="00C826F6" w:rsidP="00B67CF2">
      <w:pPr>
        <w:pStyle w:val="Notedebasdepage"/>
      </w:pPr>
      <w:r>
        <w:rPr>
          <w:rStyle w:val="Appelnotedebasdep"/>
        </w:rPr>
        <w:footnoteRef/>
      </w:r>
      <w:r>
        <w:t>B. Lecoq, 1980</w:t>
      </w:r>
    </w:p>
  </w:footnote>
  <w:footnote w:id="86">
    <w:p w:rsidR="00C826F6" w:rsidRDefault="00C826F6" w:rsidP="00B67CF2">
      <w:pPr>
        <w:pStyle w:val="Notedebasdepage"/>
      </w:pPr>
      <w:r>
        <w:rPr>
          <w:rStyle w:val="Appelnotedebasdep"/>
        </w:rPr>
        <w:footnoteRef/>
      </w:r>
      <w:r>
        <w:t>B. Pecqueur, 1986.</w:t>
      </w:r>
    </w:p>
  </w:footnote>
  <w:footnote w:id="87">
    <w:p w:rsidR="00C826F6" w:rsidRDefault="00C826F6" w:rsidP="00B67CF2">
      <w:pPr>
        <w:pStyle w:val="Notedebasdepage"/>
      </w:pPr>
      <w:r>
        <w:rPr>
          <w:rStyle w:val="Appelnotedebasdep"/>
        </w:rPr>
        <w:footnoteRef/>
      </w:r>
      <w:r>
        <w:t>J. C. Perrin, 1990.</w:t>
      </w:r>
    </w:p>
  </w:footnote>
  <w:footnote w:id="88">
    <w:p w:rsidR="00C826F6" w:rsidRDefault="00C826F6" w:rsidP="00B67CF2">
      <w:pPr>
        <w:pStyle w:val="Notedebasdepage"/>
      </w:pPr>
      <w:r>
        <w:rPr>
          <w:rStyle w:val="Appelnotedebasdep"/>
        </w:rPr>
        <w:footnoteRef/>
      </w:r>
      <w:r>
        <w:t>C. Lacour, 1993.</w:t>
      </w:r>
    </w:p>
  </w:footnote>
  <w:footnote w:id="89">
    <w:p w:rsidR="00C826F6" w:rsidRDefault="00C826F6" w:rsidP="00B67CF2">
      <w:pPr>
        <w:pStyle w:val="Notedebasdepage"/>
      </w:pPr>
      <w:r>
        <w:rPr>
          <w:rStyle w:val="Appelnotedebasdep"/>
        </w:rPr>
        <w:footnoteRef/>
      </w:r>
      <w:r>
        <w:t xml:space="preserve">H. </w:t>
      </w:r>
      <w:proofErr w:type="spellStart"/>
      <w:r>
        <w:t>Gumuchian</w:t>
      </w:r>
      <w:proofErr w:type="spellEnd"/>
      <w:r>
        <w:t>, 1991.</w:t>
      </w:r>
    </w:p>
  </w:footnote>
  <w:footnote w:id="90">
    <w:p w:rsidR="00C826F6" w:rsidRDefault="00C826F6" w:rsidP="00B67CF2">
      <w:pPr>
        <w:pStyle w:val="Notedebasdepage"/>
      </w:pPr>
      <w:r>
        <w:rPr>
          <w:rStyle w:val="Appelnotedebasdep"/>
        </w:rPr>
        <w:footnoteRef/>
      </w:r>
      <w:r>
        <w:t xml:space="preserve"> Nous le soulignons encore ici, « La proximité, argument important dans la littérature concernant le territoire, ne veut pas dire continuité. Elle peut induire des ruptures géographiques, des vides. C’est bien aussi ce que la notion de réseau évoque : le réseau certes, relie, mais il peut également séparer. La proximité de même : il n’y a rien de plus proche que deux cantons ruraux par rapport à l’extérieur. Mais ils peuvent être localement fortement éloignés et opposés » C. Lacour, 1993.</w:t>
      </w:r>
    </w:p>
  </w:footnote>
  <w:footnote w:id="91">
    <w:p w:rsidR="00C826F6" w:rsidRDefault="00C826F6" w:rsidP="00B67CF2">
      <w:pPr>
        <w:pStyle w:val="Notedebasdepage"/>
      </w:pPr>
      <w:r>
        <w:rPr>
          <w:rStyle w:val="Appelnotedebasdep"/>
        </w:rPr>
        <w:footnoteRef/>
      </w:r>
      <w:r>
        <w:t xml:space="preserve"> « On entendra par valeurs sociales des qualités que nous attribuons consciemment ou non à un type de relations, à une représentation ou à un objet. Mettre en position centrale dans la réflexion les valeurs sociales (et) prétendre gérer l’espace dans l’intérêt des habitants (...) revient en premier lieu à prendre en compte leur territorialité » H. </w:t>
      </w:r>
      <w:proofErr w:type="spellStart"/>
      <w:r>
        <w:t>Gumuchian</w:t>
      </w:r>
      <w:proofErr w:type="spellEnd"/>
      <w:r>
        <w:t>, 1991.</w:t>
      </w:r>
    </w:p>
  </w:footnote>
  <w:footnote w:id="92">
    <w:p w:rsidR="00C826F6" w:rsidRDefault="00C826F6" w:rsidP="00B67CF2">
      <w:pPr>
        <w:pStyle w:val="Notedebasdepage"/>
      </w:pPr>
      <w:r>
        <w:rPr>
          <w:rStyle w:val="Appelnotedebasdep"/>
        </w:rPr>
        <w:footnoteRef/>
      </w:r>
      <w:r>
        <w:t>B. Vachon, 1993.</w:t>
      </w:r>
    </w:p>
  </w:footnote>
  <w:footnote w:id="93">
    <w:p w:rsidR="00C826F6" w:rsidRDefault="00C826F6" w:rsidP="00B67CF2">
      <w:pPr>
        <w:pStyle w:val="Notedebasdepage"/>
      </w:pPr>
      <w:r>
        <w:rPr>
          <w:rStyle w:val="Appelnotedebasdep"/>
        </w:rPr>
        <w:footnoteRef/>
      </w:r>
      <w:r>
        <w:t xml:space="preserve"> « La dimension spatiale (non pas hiérarchique, mais dimensionnelle), parce qu’elle correspond à une réalité universelle, la lutte des hommes contre la distance, traverse l’ensemble des phénomènes de société sans en épuiser la richesse. L’espace apparaît comme un outil irremplaçable pour approcher dans un même mouvement la distance comme séparateur des sociétés en général et de l’organisation productive en particulier, les unes par rapport aux autres et comme principe d’organisation de leur dynamique intérieure ; cela se prête donc bien à l’analyse de ce qui, dans le monde d’aujourd’hui, relève de l’inter et de l’intra-sociétal » A </w:t>
      </w:r>
      <w:proofErr w:type="spellStart"/>
      <w:r>
        <w:t>Michelsons</w:t>
      </w:r>
      <w:proofErr w:type="spellEnd"/>
      <w:r>
        <w:t>, 1992.</w:t>
      </w:r>
    </w:p>
  </w:footnote>
  <w:footnote w:id="94">
    <w:p w:rsidR="00C826F6" w:rsidRDefault="00C826F6" w:rsidP="00B67CF2">
      <w:pPr>
        <w:pStyle w:val="Notedebasdepage"/>
      </w:pPr>
      <w:r>
        <w:rPr>
          <w:rStyle w:val="Appelnotedebasdep"/>
        </w:rPr>
        <w:footnoteRef/>
      </w:r>
      <w:r>
        <w:t xml:space="preserve"> « Nous ne percevons pas l’espace en soi, nous ne percevons que des objets, ces objets ont une certaine étendue, ils sont dans certains rapports de position, d’orientation entre eux et par rapport à nous. C’est par eux que nous percevons l’espace. Comme le temps, l’espace est l’une des modalités générales de toutes nos perceptions » H. </w:t>
      </w:r>
      <w:proofErr w:type="spellStart"/>
      <w:r>
        <w:t>Gumuchian</w:t>
      </w:r>
      <w:proofErr w:type="spellEnd"/>
      <w:r>
        <w:t>, 1991.</w:t>
      </w:r>
    </w:p>
  </w:footnote>
  <w:footnote w:id="95">
    <w:p w:rsidR="00C826F6" w:rsidRDefault="00C826F6" w:rsidP="00B67CF2">
      <w:pPr>
        <w:pStyle w:val="Notedebasdepage"/>
      </w:pPr>
      <w:r>
        <w:rPr>
          <w:rStyle w:val="Appelnotedebasdep"/>
        </w:rPr>
        <w:footnoteRef/>
      </w:r>
      <w:r>
        <w:t xml:space="preserve"> « La paroi créatrice de l’opposition du dedans/dehors » dont parle MOLE pour discuter la notion de frontière. A. Mole, 1992.</w:t>
      </w:r>
    </w:p>
  </w:footnote>
  <w:footnote w:id="96">
    <w:p w:rsidR="00C826F6" w:rsidRDefault="00C826F6" w:rsidP="00B67CF2">
      <w:pPr>
        <w:pStyle w:val="Notedebasdepage"/>
      </w:pPr>
      <w:r>
        <w:rPr>
          <w:rStyle w:val="Appelnotedebasdep"/>
        </w:rPr>
        <w:footnoteRef/>
      </w:r>
      <w:r>
        <w:t xml:space="preserve">A. </w:t>
      </w:r>
      <w:proofErr w:type="spellStart"/>
      <w:r>
        <w:t>Rallet</w:t>
      </w:r>
      <w:proofErr w:type="spellEnd"/>
      <w:r>
        <w:t>, 1993.</w:t>
      </w:r>
    </w:p>
  </w:footnote>
  <w:footnote w:id="97">
    <w:p w:rsidR="00C826F6" w:rsidRDefault="00C826F6" w:rsidP="00B67CF2">
      <w:pPr>
        <w:pStyle w:val="Notedebasdepage"/>
      </w:pPr>
      <w:r>
        <w:rPr>
          <w:rStyle w:val="Appelnotedebasdep"/>
          <w:b w:val="0"/>
        </w:rPr>
        <w:footnoteRef/>
      </w:r>
      <w:r>
        <w:t xml:space="preserve"> « La formule des contrats de pays, mise en place dés </w:t>
      </w:r>
      <w:smartTag w:uri="urn:schemas-microsoft-com:office:smarttags" w:element="metricconverter">
        <w:smartTagPr>
          <w:attr w:name="ProductID" w:val="1975, a"/>
        </w:smartTagPr>
        <w:r>
          <w:t>1975, a</w:t>
        </w:r>
      </w:smartTag>
      <w:r>
        <w:t xml:space="preserve"> permis, pour la première fois, une approche territoriale, mais la procédure s’est le plus souvent traduite par une juxtaposition d’opérations sans véritable cohérence économique. De sorte que le bilan de ces contrats s’est révélé, à l’usage, décevant », JF.-Poncet, 1994.</w:t>
      </w:r>
    </w:p>
  </w:footnote>
  <w:footnote w:id="98">
    <w:p w:rsidR="00C826F6" w:rsidRPr="00B67CF2" w:rsidRDefault="00C826F6" w:rsidP="00B67CF2">
      <w:pPr>
        <w:pStyle w:val="Notedebasdepage"/>
        <w:rPr>
          <w:lang w:val="en-GB"/>
        </w:rPr>
      </w:pPr>
      <w:r>
        <w:rPr>
          <w:rStyle w:val="Appelnotedebasdep"/>
        </w:rPr>
        <w:footnoteRef/>
      </w:r>
      <w:r w:rsidRPr="00B67CF2">
        <w:rPr>
          <w:lang w:val="en-GB"/>
        </w:rPr>
        <w:t xml:space="preserve">B. </w:t>
      </w:r>
      <w:proofErr w:type="spellStart"/>
      <w:r w:rsidRPr="00B67CF2">
        <w:rPr>
          <w:lang w:val="en-GB"/>
        </w:rPr>
        <w:t>Pecqueur</w:t>
      </w:r>
      <w:proofErr w:type="spellEnd"/>
      <w:r w:rsidRPr="00B67CF2">
        <w:rPr>
          <w:lang w:val="en-GB"/>
        </w:rPr>
        <w:t>, 1986.</w:t>
      </w:r>
    </w:p>
  </w:footnote>
  <w:footnote w:id="99">
    <w:p w:rsidR="00C826F6" w:rsidRPr="00B67CF2" w:rsidRDefault="00C826F6" w:rsidP="00B67CF2">
      <w:pPr>
        <w:pStyle w:val="Notedebasdepage"/>
        <w:rPr>
          <w:lang w:val="en-GB"/>
        </w:rPr>
      </w:pPr>
      <w:r>
        <w:rPr>
          <w:rStyle w:val="Appelnotedebasdep"/>
        </w:rPr>
        <w:footnoteRef/>
      </w:r>
      <w:r w:rsidRPr="00B67CF2">
        <w:rPr>
          <w:lang w:val="en-GB"/>
        </w:rPr>
        <w:t xml:space="preserve">H. </w:t>
      </w:r>
      <w:proofErr w:type="spellStart"/>
      <w:r w:rsidRPr="00B67CF2">
        <w:rPr>
          <w:lang w:val="en-GB"/>
        </w:rPr>
        <w:t>Gumuchian</w:t>
      </w:r>
      <w:proofErr w:type="spellEnd"/>
      <w:r w:rsidRPr="00B67CF2">
        <w:rPr>
          <w:lang w:val="en-GB"/>
        </w:rPr>
        <w:t>, 1991.</w:t>
      </w:r>
    </w:p>
  </w:footnote>
  <w:footnote w:id="100">
    <w:p w:rsidR="00C826F6" w:rsidRPr="00B67CF2" w:rsidRDefault="00C826F6" w:rsidP="00B67CF2">
      <w:pPr>
        <w:pStyle w:val="Notedebasdepage"/>
        <w:rPr>
          <w:lang w:val="en-GB"/>
        </w:rPr>
      </w:pPr>
      <w:r>
        <w:rPr>
          <w:rStyle w:val="Appelnotedebasdep"/>
        </w:rPr>
        <w:footnoteRef/>
      </w:r>
      <w:r w:rsidRPr="00B67CF2">
        <w:rPr>
          <w:lang w:val="en-GB"/>
        </w:rPr>
        <w:t>W. Coffey, 1992.</w:t>
      </w:r>
    </w:p>
  </w:footnote>
  <w:footnote w:id="101">
    <w:p w:rsidR="00C826F6" w:rsidRPr="00B67CF2" w:rsidRDefault="00C826F6" w:rsidP="00B67CF2">
      <w:pPr>
        <w:pStyle w:val="Notedebasdepage"/>
        <w:rPr>
          <w:lang w:val="en-GB"/>
        </w:rPr>
      </w:pPr>
      <w:r>
        <w:rPr>
          <w:rStyle w:val="Appelnotedebasdep"/>
        </w:rPr>
        <w:footnoteRef/>
      </w:r>
      <w:r w:rsidRPr="00B67CF2">
        <w:rPr>
          <w:lang w:val="en-GB"/>
        </w:rPr>
        <w:t xml:space="preserve">H. </w:t>
      </w:r>
      <w:proofErr w:type="spellStart"/>
      <w:r w:rsidRPr="00B67CF2">
        <w:rPr>
          <w:lang w:val="en-GB"/>
        </w:rPr>
        <w:t>Gumuchian</w:t>
      </w:r>
      <w:proofErr w:type="spellEnd"/>
      <w:r w:rsidRPr="00B67CF2">
        <w:rPr>
          <w:lang w:val="en-GB"/>
        </w:rPr>
        <w:t>, 1991.</w:t>
      </w:r>
    </w:p>
  </w:footnote>
  <w:footnote w:id="102">
    <w:p w:rsidR="00C826F6" w:rsidRDefault="00C826F6" w:rsidP="00B67CF2">
      <w:pPr>
        <w:pStyle w:val="Notedebasdepage"/>
      </w:pPr>
      <w:r>
        <w:rPr>
          <w:rStyle w:val="Appelnotedebasdep"/>
        </w:rPr>
        <w:footnoteRef/>
      </w:r>
      <w:r>
        <w:t>En la matière, les pouvoirs politiques s’efforcent de convertir l’étendue en signes ; ils codifient alors l’espace-support. Par ce processus, le pouvoir participe activement à la création de sens; il impose sa vision spécifique du monde. Ainsi comme l’affirme R. Barthes« Tout usage social est converti en signe de cet usage ».</w:t>
      </w:r>
    </w:p>
  </w:footnote>
  <w:footnote w:id="103">
    <w:p w:rsidR="00C826F6" w:rsidRDefault="00C826F6" w:rsidP="00B67CF2">
      <w:pPr>
        <w:pStyle w:val="Notedebasdepage"/>
      </w:pPr>
      <w:r>
        <w:rPr>
          <w:rStyle w:val="Appelnotedebasdep"/>
        </w:rPr>
        <w:footnoteRef/>
      </w:r>
      <w:r>
        <w:t>En France, c’est sans nul doute, en psychologie sociale, à la suite des travaux de S. Moscovici, que le concept de représentation sociale a donné lieu à la publication du plus grand nombre de travaux. Ce concept peut se définir comme un ensemble d’informations (ou de croyances ou d’attitudes ou d’opinions) se référant à un objet ou une situation; elle est déterminée par le sujet et par le système social dans lequel il est intégré ainsi que par la nature du lien que l’individu entretient avec ce système.</w:t>
      </w:r>
    </w:p>
  </w:footnote>
  <w:footnote w:id="104">
    <w:p w:rsidR="00C826F6" w:rsidRDefault="00C826F6" w:rsidP="00B67CF2">
      <w:pPr>
        <w:pStyle w:val="Notedebasdepage"/>
      </w:pPr>
      <w:r>
        <w:rPr>
          <w:rStyle w:val="Appelnotedebasdep"/>
        </w:rPr>
        <w:footnoteRef/>
      </w:r>
      <w:r>
        <w:t xml:space="preserve">H. </w:t>
      </w:r>
      <w:proofErr w:type="spellStart"/>
      <w:r>
        <w:t>Gumuchian</w:t>
      </w:r>
      <w:proofErr w:type="spellEnd"/>
      <w:r>
        <w:t>, 1991.</w:t>
      </w:r>
    </w:p>
  </w:footnote>
  <w:footnote w:id="105">
    <w:p w:rsidR="00C826F6" w:rsidRDefault="00C826F6" w:rsidP="00B67CF2">
      <w:pPr>
        <w:pStyle w:val="Notedebasdepage"/>
      </w:pPr>
      <w:r>
        <w:rPr>
          <w:rStyle w:val="Appelnotedebasdep"/>
        </w:rPr>
        <w:footnoteRef/>
      </w:r>
      <w:r>
        <w:t>B. Pecqueur, 1993.</w:t>
      </w:r>
    </w:p>
  </w:footnote>
  <w:footnote w:id="106">
    <w:p w:rsidR="00C826F6" w:rsidRDefault="00C826F6" w:rsidP="00B67CF2">
      <w:pPr>
        <w:pStyle w:val="Notedebasdepage"/>
      </w:pPr>
      <w:r>
        <w:rPr>
          <w:rStyle w:val="Appelnotedebasdep"/>
        </w:rPr>
        <w:footnoteRef/>
      </w:r>
      <w:r>
        <w:t xml:space="preserve"> Le principe du panoptique à été appliqué à l’information de la firme sous le terme de </w:t>
      </w:r>
      <w:proofErr w:type="spellStart"/>
      <w:r>
        <w:t>néopanoptique</w:t>
      </w:r>
      <w:proofErr w:type="spellEnd"/>
      <w:r>
        <w:t xml:space="preserve"> par PH. </w:t>
      </w:r>
      <w:proofErr w:type="spellStart"/>
      <w:r>
        <w:t>Baumard</w:t>
      </w:r>
      <w:proofErr w:type="spellEnd"/>
      <w:r>
        <w:t xml:space="preserve"> in Stratégie et surveillance des environnements concurrentiels, Masson, Paris, 1988.</w:t>
      </w:r>
    </w:p>
  </w:footnote>
  <w:footnote w:id="107">
    <w:p w:rsidR="00C826F6" w:rsidRDefault="00C826F6" w:rsidP="00B67CF2">
      <w:pPr>
        <w:pStyle w:val="Notedebasdepage"/>
      </w:pPr>
      <w:r>
        <w:rPr>
          <w:rStyle w:val="Appelnotedebasdep"/>
        </w:rPr>
        <w:footnoteRef/>
      </w:r>
      <w:r>
        <w:t xml:space="preserve"> Pour le Petit Larousse, c’est un « bâtiment dont on peut, d’un seul coup d’oeil, embrasser tout l’intérieur ». Pour une justification de l’utilité de cette métaphore du panoptique comme moyen de compréhension de phénomènes sociaux, voir T. Gaudin, 1984.</w:t>
      </w:r>
    </w:p>
  </w:footnote>
  <w:footnote w:id="108">
    <w:p w:rsidR="00C826F6" w:rsidRDefault="00C826F6" w:rsidP="00B67CF2">
      <w:pPr>
        <w:pStyle w:val="Notedebasdepage"/>
      </w:pPr>
      <w:r>
        <w:rPr>
          <w:rStyle w:val="Appelnotedebasdep"/>
        </w:rPr>
        <w:footnoteRef/>
      </w:r>
      <w:r>
        <w:t xml:space="preserve"> M. </w:t>
      </w:r>
      <w:proofErr w:type="spellStart"/>
      <w:r>
        <w:t>Foulcault</w:t>
      </w:r>
      <w:proofErr w:type="spellEnd"/>
      <w:r>
        <w:t>, 1975.</w:t>
      </w:r>
    </w:p>
  </w:footnote>
  <w:footnote w:id="109">
    <w:p w:rsidR="00C826F6" w:rsidRDefault="00C826F6" w:rsidP="00B67CF2">
      <w:pPr>
        <w:pStyle w:val="Notedebasdepage"/>
      </w:pPr>
      <w:r>
        <w:rPr>
          <w:rStyle w:val="Appelnotedebasdep"/>
        </w:rPr>
        <w:footnoteRef/>
      </w:r>
      <w:r>
        <w:t>B. Pecqueur, 1986.</w:t>
      </w:r>
    </w:p>
  </w:footnote>
  <w:footnote w:id="110">
    <w:p w:rsidR="00C826F6" w:rsidRDefault="00C826F6" w:rsidP="00B67CF2">
      <w:pPr>
        <w:pStyle w:val="Notedebasdepage"/>
      </w:pPr>
      <w:r>
        <w:t xml:space="preserve"> </w:t>
      </w:r>
      <w:r>
        <w:rPr>
          <w:rStyle w:val="Appelnotedebasdep"/>
        </w:rPr>
        <w:footnoteRef/>
      </w:r>
      <w:r>
        <w:t>L’extension ces dernières années des domaines de compétences de l’expert comptable, conseiller traditionnel des petites entreprises, maintenant présent dans les domaines de la création et de la gestion, semble démontrer combien ce facteur d’identification peut être prégnant lors du choix des partenaires de développement.</w:t>
      </w:r>
    </w:p>
  </w:footnote>
  <w:footnote w:id="111">
    <w:p w:rsidR="00C826F6" w:rsidRDefault="00C826F6" w:rsidP="00B67CF2">
      <w:pPr>
        <w:pStyle w:val="Notedebasdepage"/>
      </w:pPr>
      <w:r>
        <w:rPr>
          <w:rStyle w:val="Appelnotedebasdep"/>
        </w:rPr>
        <w:footnoteRef/>
      </w:r>
      <w:r>
        <w:t>B. Pecqueur, 1993.</w:t>
      </w:r>
    </w:p>
  </w:footnote>
  <w:footnote w:id="112">
    <w:p w:rsidR="00C826F6" w:rsidRDefault="00C826F6" w:rsidP="00B67CF2">
      <w:pPr>
        <w:pStyle w:val="Notedebasdepage"/>
      </w:pPr>
      <w:r>
        <w:rPr>
          <w:rStyle w:val="Appelnotedebasdep"/>
        </w:rPr>
        <w:footnoteRef/>
      </w:r>
      <w:r>
        <w:t>G. Paiement, 1990.</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6F6" w:rsidRDefault="00C826F6" w:rsidP="00D65C0F">
    <w:pPr>
      <w:pStyle w:val="En-tte"/>
    </w:pPr>
    <w:r>
      <w:t xml:space="preserve">Environnement numérique </w:t>
    </w:r>
  </w:p>
  <w:p w:rsidR="00C826F6" w:rsidRDefault="00C826F6" w:rsidP="00D65C0F">
    <w:pPr>
      <w:pStyle w:val="En-tte"/>
    </w:pPr>
    <w:r>
      <w:t>de l’information et de la communication</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26F6" w:rsidRPr="005E5CFA" w:rsidRDefault="00C826F6" w:rsidP="005E5CFA">
    <w:pPr>
      <w:pStyle w:val="En-tte"/>
    </w:pPr>
  </w:p>
  <w:p w:rsidR="00C826F6" w:rsidRDefault="00C826F6"/>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C26B6A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FFFFFFFB"/>
    <w:multiLevelType w:val="multilevel"/>
    <w:tmpl w:val="0E5A0D54"/>
    <w:lvl w:ilvl="0">
      <w:start w:val="1"/>
      <w:numFmt w:val="decimal"/>
      <w:pStyle w:val="Titre1"/>
      <w:lvlText w:val="%1."/>
      <w:legacy w:legacy="1" w:legacySpace="144" w:legacyIndent="0"/>
      <w:lvlJc w:val="left"/>
    </w:lvl>
    <w:lvl w:ilvl="1">
      <w:start w:val="1"/>
      <w:numFmt w:val="decimal"/>
      <w:pStyle w:val="Titre2"/>
      <w:lvlText w:val="%1.%2"/>
      <w:legacy w:legacy="1" w:legacySpace="144" w:legacyIndent="0"/>
      <w:lvlJc w:val="left"/>
    </w:lvl>
    <w:lvl w:ilvl="2">
      <w:start w:val="1"/>
      <w:numFmt w:val="decimal"/>
      <w:pStyle w:val="Titre3"/>
      <w:lvlText w:val="%1.%2.%3"/>
      <w:legacy w:legacy="1" w:legacySpace="144" w:legacyIndent="0"/>
      <w:lvlJc w:val="left"/>
    </w:lvl>
    <w:lvl w:ilvl="3">
      <w:start w:val="1"/>
      <w:numFmt w:val="decimal"/>
      <w:pStyle w:val="Titre4"/>
      <w:lvlText w:val="%1.%2.%3.%4"/>
      <w:legacy w:legacy="1" w:legacySpace="144" w:legacyIndent="0"/>
      <w:lvlJc w:val="left"/>
    </w:lvl>
    <w:lvl w:ilvl="4">
      <w:start w:val="1"/>
      <w:numFmt w:val="decimal"/>
      <w:pStyle w:val="Titre5"/>
      <w:lvlText w:val="%1.%2.%3.%4.%5"/>
      <w:legacy w:legacy="1" w:legacySpace="144" w:legacyIndent="0"/>
      <w:lvlJc w:val="left"/>
    </w:lvl>
    <w:lvl w:ilvl="5">
      <w:start w:val="1"/>
      <w:numFmt w:val="decimal"/>
      <w:pStyle w:val="Titre6"/>
      <w:lvlText w:val="%1.%2.%3.%4.%5.%6"/>
      <w:legacy w:legacy="1" w:legacySpace="144" w:legacyIndent="0"/>
      <w:lvlJc w:val="left"/>
    </w:lvl>
    <w:lvl w:ilvl="6">
      <w:start w:val="1"/>
      <w:numFmt w:val="decimal"/>
      <w:pStyle w:val="Titre7"/>
      <w:lvlText w:val="%1.%2.%3.%4.%5.%6.%7"/>
      <w:legacy w:legacy="1" w:legacySpace="144" w:legacyIndent="0"/>
      <w:lvlJc w:val="left"/>
    </w:lvl>
    <w:lvl w:ilvl="7">
      <w:start w:val="1"/>
      <w:numFmt w:val="decimal"/>
      <w:pStyle w:val="Titre8"/>
      <w:lvlText w:val="%1.%2.%3.%4.%5.%6.%7.%8"/>
      <w:legacy w:legacy="1" w:legacySpace="144" w:legacyIndent="0"/>
      <w:lvlJc w:val="left"/>
    </w:lvl>
    <w:lvl w:ilvl="8">
      <w:start w:val="1"/>
      <w:numFmt w:val="decimal"/>
      <w:pStyle w:val="Titre9"/>
      <w:lvlText w:val="%1.%2.%3.%4.%5.%6.%7.%8.%9"/>
      <w:legacy w:legacy="1" w:legacySpace="144" w:legacyIndent="0"/>
      <w:lvlJc w:val="left"/>
    </w:lvl>
  </w:abstractNum>
  <w:abstractNum w:abstractNumId="2" w15:restartNumberingAfterBreak="0">
    <w:nsid w:val="FFFFFFFE"/>
    <w:multiLevelType w:val="singleLevel"/>
    <w:tmpl w:val="1D1C0AC8"/>
    <w:lvl w:ilvl="0">
      <w:numFmt w:val="decimal"/>
      <w:pStyle w:val="Listepuces"/>
      <w:lvlText w:val="*"/>
      <w:lvlJc w:val="left"/>
    </w:lvl>
  </w:abstractNum>
  <w:abstractNum w:abstractNumId="3" w15:restartNumberingAfterBreak="0">
    <w:nsid w:val="3BBC4C8E"/>
    <w:multiLevelType w:val="hybridMultilevel"/>
    <w:tmpl w:val="1C0C6530"/>
    <w:lvl w:ilvl="0" w:tplc="4EB4CC3C">
      <w:start w:val="1"/>
      <w:numFmt w:val="decimal"/>
      <w:lvlText w:val="Doc. %1"/>
      <w:lvlJc w:val="right"/>
      <w:pPr>
        <w:tabs>
          <w:tab w:val="num" w:pos="1684"/>
        </w:tabs>
        <w:ind w:left="1684" w:hanging="397"/>
      </w:pPr>
      <w:rPr>
        <w:rFonts w:ascii="Arial Narrow" w:hAnsi="Arial Narrow" w:hint="default"/>
        <w:b/>
        <w:i w:val="0"/>
        <w:sz w:val="24"/>
      </w:rPr>
    </w:lvl>
    <w:lvl w:ilvl="1" w:tplc="040C0019" w:tentative="1">
      <w:start w:val="1"/>
      <w:numFmt w:val="lowerLetter"/>
      <w:lvlText w:val="%2."/>
      <w:lvlJc w:val="left"/>
      <w:pPr>
        <w:tabs>
          <w:tab w:val="num" w:pos="2160"/>
        </w:tabs>
        <w:ind w:left="2160" w:hanging="360"/>
      </w:pPr>
    </w:lvl>
    <w:lvl w:ilvl="2" w:tplc="040C001B" w:tentative="1">
      <w:start w:val="1"/>
      <w:numFmt w:val="lowerRoman"/>
      <w:lvlText w:val="%3."/>
      <w:lvlJc w:val="right"/>
      <w:pPr>
        <w:tabs>
          <w:tab w:val="num" w:pos="2880"/>
        </w:tabs>
        <w:ind w:left="2880" w:hanging="180"/>
      </w:pPr>
    </w:lvl>
    <w:lvl w:ilvl="3" w:tplc="040C000F" w:tentative="1">
      <w:start w:val="1"/>
      <w:numFmt w:val="decimal"/>
      <w:lvlText w:val="%4."/>
      <w:lvlJc w:val="left"/>
      <w:pPr>
        <w:tabs>
          <w:tab w:val="num" w:pos="3600"/>
        </w:tabs>
        <w:ind w:left="3600" w:hanging="360"/>
      </w:pPr>
    </w:lvl>
    <w:lvl w:ilvl="4" w:tplc="040C0019" w:tentative="1">
      <w:start w:val="1"/>
      <w:numFmt w:val="lowerLetter"/>
      <w:lvlText w:val="%5."/>
      <w:lvlJc w:val="left"/>
      <w:pPr>
        <w:tabs>
          <w:tab w:val="num" w:pos="4320"/>
        </w:tabs>
        <w:ind w:left="4320" w:hanging="360"/>
      </w:pPr>
    </w:lvl>
    <w:lvl w:ilvl="5" w:tplc="040C001B" w:tentative="1">
      <w:start w:val="1"/>
      <w:numFmt w:val="lowerRoman"/>
      <w:lvlText w:val="%6."/>
      <w:lvlJc w:val="right"/>
      <w:pPr>
        <w:tabs>
          <w:tab w:val="num" w:pos="5040"/>
        </w:tabs>
        <w:ind w:left="5040" w:hanging="180"/>
      </w:pPr>
    </w:lvl>
    <w:lvl w:ilvl="6" w:tplc="040C000F" w:tentative="1">
      <w:start w:val="1"/>
      <w:numFmt w:val="decimal"/>
      <w:lvlText w:val="%7."/>
      <w:lvlJc w:val="left"/>
      <w:pPr>
        <w:tabs>
          <w:tab w:val="num" w:pos="5760"/>
        </w:tabs>
        <w:ind w:left="5760" w:hanging="360"/>
      </w:pPr>
    </w:lvl>
    <w:lvl w:ilvl="7" w:tplc="040C0019" w:tentative="1">
      <w:start w:val="1"/>
      <w:numFmt w:val="lowerLetter"/>
      <w:lvlText w:val="%8."/>
      <w:lvlJc w:val="left"/>
      <w:pPr>
        <w:tabs>
          <w:tab w:val="num" w:pos="6480"/>
        </w:tabs>
        <w:ind w:left="6480" w:hanging="360"/>
      </w:pPr>
    </w:lvl>
    <w:lvl w:ilvl="8" w:tplc="040C001B" w:tentative="1">
      <w:start w:val="1"/>
      <w:numFmt w:val="lowerRoman"/>
      <w:lvlText w:val="%9."/>
      <w:lvlJc w:val="right"/>
      <w:pPr>
        <w:tabs>
          <w:tab w:val="num" w:pos="7200"/>
        </w:tabs>
        <w:ind w:left="7200" w:hanging="180"/>
      </w:pPr>
    </w:lvl>
  </w:abstractNum>
  <w:abstractNum w:abstractNumId="4" w15:restartNumberingAfterBreak="0">
    <w:nsid w:val="6B765E1D"/>
    <w:multiLevelType w:val="singleLevel"/>
    <w:tmpl w:val="957080B2"/>
    <w:lvl w:ilvl="0">
      <w:start w:val="1"/>
      <w:numFmt w:val="none"/>
      <w:lvlText w:val=""/>
      <w:legacy w:legacy="1" w:legacySpace="0" w:legacyIndent="0"/>
      <w:lvlJc w:val="left"/>
    </w:lvl>
  </w:abstractNum>
  <w:num w:numId="1">
    <w:abstractNumId w:val="3"/>
  </w:num>
  <w:num w:numId="2">
    <w:abstractNumId w:val="1"/>
  </w:num>
  <w:num w:numId="3">
    <w:abstractNumId w:val="2"/>
    <w:lvlOverride w:ilvl="0">
      <w:lvl w:ilvl="0">
        <w:start w:val="1"/>
        <w:numFmt w:val="bullet"/>
        <w:pStyle w:val="Listepuces"/>
        <w:lvlText w:val="■"/>
        <w:lvlJc w:val="left"/>
        <w:pPr>
          <w:tabs>
            <w:tab w:val="num" w:pos="1420"/>
          </w:tabs>
          <w:ind w:left="1420" w:hanging="340"/>
        </w:pPr>
        <w:rPr>
          <w:rFonts w:ascii="Arial" w:hAnsi="Arial" w:hint="default"/>
          <w:color w:val="auto"/>
          <w:position w:val="0"/>
          <w:sz w:val="20"/>
          <w:szCs w:val="28"/>
        </w:rPr>
      </w:lvl>
    </w:lvlOverride>
  </w:num>
  <w:num w:numId="4">
    <w:abstractNumId w:val="4"/>
  </w:num>
  <w:num w:numId="5">
    <w:abstractNumId w:val="2"/>
    <w:lvlOverride w:ilvl="0">
      <w:lvl w:ilvl="0">
        <w:start w:val="1"/>
        <w:numFmt w:val="bullet"/>
        <w:pStyle w:val="Listepuces"/>
        <w:lvlText w:val=""/>
        <w:legacy w:legacy="1" w:legacySpace="0" w:legacyIndent="187"/>
        <w:lvlJc w:val="left"/>
        <w:pPr>
          <w:ind w:left="187" w:hanging="187"/>
        </w:pPr>
        <w:rPr>
          <w:rFonts w:ascii="Symbol" w:hAnsi="Symbol" w:hint="default"/>
        </w:rPr>
      </w:lvl>
    </w:lvlOverride>
  </w:num>
  <w:num w:numId="6">
    <w:abstractNumId w:val="0"/>
  </w:num>
  <w:num w:numId="7">
    <w:abstractNumId w:val="2"/>
    <w:lvlOverride w:ilvl="0">
      <w:lvl w:ilvl="0">
        <w:start w:val="1"/>
        <w:numFmt w:val="bullet"/>
        <w:pStyle w:val="Listepuces"/>
        <w:lvlText w:val="■"/>
        <w:lvlJc w:val="left"/>
        <w:pPr>
          <w:tabs>
            <w:tab w:val="num" w:pos="1420"/>
          </w:tabs>
          <w:ind w:left="1420" w:hanging="340"/>
        </w:pPr>
        <w:rPr>
          <w:rFonts w:ascii="Arial" w:hAnsi="Arial" w:hint="default"/>
          <w:color w:val="auto"/>
          <w:position w:val="0"/>
          <w:sz w:val="20"/>
          <w:szCs w:val="28"/>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44F"/>
    <w:rsid w:val="00060210"/>
    <w:rsid w:val="000676CD"/>
    <w:rsid w:val="000A782B"/>
    <w:rsid w:val="000B5CC0"/>
    <w:rsid w:val="000D4AE1"/>
    <w:rsid w:val="00105C39"/>
    <w:rsid w:val="00137D7B"/>
    <w:rsid w:val="00156E75"/>
    <w:rsid w:val="001D6D2D"/>
    <w:rsid w:val="00230B2C"/>
    <w:rsid w:val="0024217B"/>
    <w:rsid w:val="002C7BAC"/>
    <w:rsid w:val="002D18B9"/>
    <w:rsid w:val="002D5B3D"/>
    <w:rsid w:val="00310935"/>
    <w:rsid w:val="0032383D"/>
    <w:rsid w:val="00340134"/>
    <w:rsid w:val="0036039F"/>
    <w:rsid w:val="00360A1F"/>
    <w:rsid w:val="0036723B"/>
    <w:rsid w:val="0039344F"/>
    <w:rsid w:val="003F0D86"/>
    <w:rsid w:val="0040472B"/>
    <w:rsid w:val="00461B5C"/>
    <w:rsid w:val="004B2463"/>
    <w:rsid w:val="005E0833"/>
    <w:rsid w:val="005E5CFA"/>
    <w:rsid w:val="006E50BF"/>
    <w:rsid w:val="007576B0"/>
    <w:rsid w:val="007822C1"/>
    <w:rsid w:val="007B3D60"/>
    <w:rsid w:val="00825D2C"/>
    <w:rsid w:val="008407FA"/>
    <w:rsid w:val="008714C2"/>
    <w:rsid w:val="008879F3"/>
    <w:rsid w:val="008B2CC1"/>
    <w:rsid w:val="008B2D0A"/>
    <w:rsid w:val="008C3C54"/>
    <w:rsid w:val="008D7B12"/>
    <w:rsid w:val="009415E0"/>
    <w:rsid w:val="009763D7"/>
    <w:rsid w:val="00977D07"/>
    <w:rsid w:val="00984F94"/>
    <w:rsid w:val="009A2626"/>
    <w:rsid w:val="009A77C4"/>
    <w:rsid w:val="00A07AFC"/>
    <w:rsid w:val="00A22582"/>
    <w:rsid w:val="00A61BD2"/>
    <w:rsid w:val="00B67CF2"/>
    <w:rsid w:val="00BB0FAA"/>
    <w:rsid w:val="00C16CDD"/>
    <w:rsid w:val="00C826F6"/>
    <w:rsid w:val="00CE2807"/>
    <w:rsid w:val="00CF0494"/>
    <w:rsid w:val="00D25A31"/>
    <w:rsid w:val="00D57EA9"/>
    <w:rsid w:val="00D65C0F"/>
    <w:rsid w:val="00E46D9E"/>
    <w:rsid w:val="00E53C18"/>
    <w:rsid w:val="00E77563"/>
    <w:rsid w:val="00E87D22"/>
    <w:rsid w:val="00E93814"/>
    <w:rsid w:val="00F42EAB"/>
    <w:rsid w:val="00F634BC"/>
    <w:rsid w:val="00F80850"/>
    <w:rsid w:val="00FA6843"/>
    <w:rsid w:val="00FB6829"/>
    <w:rsid w:val="00FE18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49"/>
    <o:shapelayout v:ext="edit">
      <o:idmap v:ext="edit" data="1"/>
    </o:shapelayout>
  </w:shapeDefaults>
  <w:decimalSymbol w:val=","/>
  <w:listSeparator w:val=";"/>
  <w14:docId w14:val="18A972C3"/>
  <w15:docId w15:val="{68A503A7-57AE-4F77-AB4A-448D9AC75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7EA9"/>
    <w:pPr>
      <w:overflowPunct w:val="0"/>
      <w:autoSpaceDE w:val="0"/>
      <w:autoSpaceDN w:val="0"/>
      <w:adjustRightInd w:val="0"/>
      <w:spacing w:line="320" w:lineRule="exact"/>
      <w:ind w:left="720"/>
      <w:jc w:val="both"/>
      <w:textAlignment w:val="baseline"/>
    </w:pPr>
    <w:rPr>
      <w:sz w:val="24"/>
      <w:szCs w:val="24"/>
    </w:rPr>
  </w:style>
  <w:style w:type="paragraph" w:styleId="Titre1">
    <w:name w:val="heading 1"/>
    <w:basedOn w:val="Normal"/>
    <w:next w:val="Normal"/>
    <w:qFormat/>
    <w:rsid w:val="008879F3"/>
    <w:pPr>
      <w:keepNext/>
      <w:keepLines/>
      <w:pageBreakBefore/>
      <w:numPr>
        <w:numId w:val="2"/>
      </w:numPr>
      <w:pBdr>
        <w:bottom w:val="single" w:sz="6" w:space="3" w:color="auto"/>
      </w:pBdr>
      <w:spacing w:after="120" w:line="360" w:lineRule="exact"/>
      <w:ind w:left="0"/>
      <w:outlineLvl w:val="0"/>
    </w:pPr>
    <w:rPr>
      <w:rFonts w:ascii="Arial" w:hAnsi="Arial" w:cs="Arial"/>
      <w:b/>
      <w:bCs/>
      <w:kern w:val="28"/>
      <w:sz w:val="28"/>
      <w:szCs w:val="28"/>
    </w:rPr>
  </w:style>
  <w:style w:type="paragraph" w:styleId="Titre2">
    <w:name w:val="heading 2"/>
    <w:basedOn w:val="Normal"/>
    <w:next w:val="Normal"/>
    <w:link w:val="Titre2Car"/>
    <w:qFormat/>
    <w:rsid w:val="008879F3"/>
    <w:pPr>
      <w:keepNext/>
      <w:keepLines/>
      <w:numPr>
        <w:ilvl w:val="1"/>
        <w:numId w:val="2"/>
      </w:numPr>
      <w:spacing w:before="600" w:after="360" w:line="280" w:lineRule="exact"/>
      <w:ind w:left="0"/>
      <w:outlineLvl w:val="1"/>
    </w:pPr>
    <w:rPr>
      <w:rFonts w:ascii="Arial" w:hAnsi="Arial" w:cs="Arial"/>
      <w:b/>
      <w:bCs/>
      <w:kern w:val="28"/>
    </w:rPr>
  </w:style>
  <w:style w:type="paragraph" w:styleId="Titre3">
    <w:name w:val="heading 3"/>
    <w:basedOn w:val="Normal"/>
    <w:next w:val="Normal"/>
    <w:autoRedefine/>
    <w:qFormat/>
    <w:rsid w:val="008879F3"/>
    <w:pPr>
      <w:keepLines/>
      <w:numPr>
        <w:ilvl w:val="2"/>
        <w:numId w:val="2"/>
      </w:numPr>
      <w:spacing w:before="240" w:after="120" w:line="280" w:lineRule="exact"/>
      <w:ind w:left="0"/>
      <w:outlineLvl w:val="2"/>
    </w:pPr>
    <w:rPr>
      <w:b/>
      <w:bCs/>
      <w:i/>
      <w:iCs/>
      <w:kern w:val="28"/>
    </w:rPr>
  </w:style>
  <w:style w:type="paragraph" w:styleId="Titre4">
    <w:name w:val="heading 4"/>
    <w:basedOn w:val="Normal"/>
    <w:next w:val="Normal"/>
    <w:autoRedefine/>
    <w:qFormat/>
    <w:rsid w:val="008879F3"/>
    <w:pPr>
      <w:keepNext/>
      <w:keepLines/>
      <w:numPr>
        <w:ilvl w:val="3"/>
        <w:numId w:val="2"/>
      </w:numPr>
      <w:spacing w:before="240" w:after="120" w:line="280" w:lineRule="exact"/>
      <w:ind w:left="0"/>
      <w:outlineLvl w:val="3"/>
    </w:pPr>
    <w:rPr>
      <w:b/>
      <w:bCs/>
      <w:kern w:val="28"/>
      <w:sz w:val="22"/>
    </w:rPr>
  </w:style>
  <w:style w:type="paragraph" w:styleId="Titre5">
    <w:name w:val="heading 5"/>
    <w:basedOn w:val="Normal"/>
    <w:next w:val="Normal"/>
    <w:autoRedefine/>
    <w:qFormat/>
    <w:rsid w:val="008879F3"/>
    <w:pPr>
      <w:keepNext/>
      <w:keepLines/>
      <w:numPr>
        <w:ilvl w:val="4"/>
        <w:numId w:val="2"/>
      </w:numPr>
      <w:spacing w:before="240" w:after="120" w:line="280" w:lineRule="exact"/>
      <w:ind w:left="0"/>
      <w:outlineLvl w:val="4"/>
    </w:pPr>
    <w:rPr>
      <w:b/>
      <w:bCs/>
      <w:i/>
      <w:iCs/>
      <w:kern w:val="28"/>
      <w:sz w:val="22"/>
    </w:rPr>
  </w:style>
  <w:style w:type="paragraph" w:styleId="Titre6">
    <w:name w:val="heading 6"/>
    <w:basedOn w:val="Normal"/>
    <w:next w:val="Normal"/>
    <w:qFormat/>
    <w:rsid w:val="008879F3"/>
    <w:pPr>
      <w:keepNext/>
      <w:keepLines/>
      <w:numPr>
        <w:ilvl w:val="5"/>
        <w:numId w:val="2"/>
      </w:numPr>
      <w:spacing w:before="240" w:after="120" w:line="280" w:lineRule="exact"/>
      <w:ind w:left="0"/>
      <w:outlineLvl w:val="5"/>
    </w:pPr>
    <w:rPr>
      <w:b/>
      <w:bCs/>
      <w:kern w:val="28"/>
      <w:sz w:val="22"/>
      <w:szCs w:val="22"/>
    </w:rPr>
  </w:style>
  <w:style w:type="paragraph" w:styleId="Titre7">
    <w:name w:val="heading 7"/>
    <w:basedOn w:val="Normal"/>
    <w:next w:val="Normal"/>
    <w:qFormat/>
    <w:rsid w:val="008879F3"/>
    <w:pPr>
      <w:keepNext/>
      <w:keepLines/>
      <w:numPr>
        <w:ilvl w:val="6"/>
        <w:numId w:val="2"/>
      </w:numPr>
      <w:spacing w:before="240" w:after="120" w:line="280" w:lineRule="exact"/>
      <w:ind w:left="0"/>
      <w:outlineLvl w:val="6"/>
    </w:pPr>
    <w:rPr>
      <w:kern w:val="28"/>
      <w:sz w:val="22"/>
      <w:szCs w:val="22"/>
    </w:rPr>
  </w:style>
  <w:style w:type="paragraph" w:styleId="Titre8">
    <w:name w:val="heading 8"/>
    <w:basedOn w:val="Normal"/>
    <w:next w:val="Normal"/>
    <w:qFormat/>
    <w:rsid w:val="008879F3"/>
    <w:pPr>
      <w:keepNext/>
      <w:keepLines/>
      <w:numPr>
        <w:ilvl w:val="7"/>
        <w:numId w:val="2"/>
      </w:numPr>
      <w:spacing w:before="240" w:after="120" w:line="280" w:lineRule="exact"/>
      <w:ind w:left="0"/>
      <w:outlineLvl w:val="7"/>
    </w:pPr>
    <w:rPr>
      <w:i/>
      <w:iCs/>
      <w:kern w:val="28"/>
      <w:sz w:val="22"/>
      <w:szCs w:val="22"/>
    </w:rPr>
  </w:style>
  <w:style w:type="paragraph" w:styleId="Titre9">
    <w:name w:val="heading 9"/>
    <w:basedOn w:val="Normal"/>
    <w:next w:val="Normal"/>
    <w:qFormat/>
    <w:rsid w:val="008879F3"/>
    <w:pPr>
      <w:keepNext/>
      <w:keepLines/>
      <w:numPr>
        <w:ilvl w:val="8"/>
        <w:numId w:val="2"/>
      </w:numPr>
      <w:spacing w:before="240" w:after="120" w:line="280" w:lineRule="exact"/>
      <w:ind w:left="0"/>
      <w:outlineLvl w:val="8"/>
    </w:pPr>
    <w:rPr>
      <w:i/>
      <w:iCs/>
      <w:kern w:val="28"/>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M4">
    <w:name w:val="toc 4"/>
    <w:basedOn w:val="Normal"/>
    <w:next w:val="Normal"/>
    <w:autoRedefine/>
    <w:semiHidden/>
    <w:pPr>
      <w:jc w:val="left"/>
    </w:pPr>
    <w:rPr>
      <w:sz w:val="18"/>
      <w:szCs w:val="21"/>
    </w:rPr>
  </w:style>
  <w:style w:type="paragraph" w:customStyle="1" w:styleId="TMbase">
    <w:name w:val="TM (base)"/>
    <w:basedOn w:val="Normal"/>
    <w:rsid w:val="00B67CF2"/>
    <w:pPr>
      <w:tabs>
        <w:tab w:val="right" w:leader="dot" w:pos="8640"/>
      </w:tabs>
      <w:spacing w:before="60" w:after="60" w:line="240" w:lineRule="auto"/>
      <w:ind w:left="0" w:right="1440"/>
    </w:pPr>
  </w:style>
  <w:style w:type="character" w:styleId="Appelnotedebasdep">
    <w:name w:val="footnote reference"/>
    <w:semiHidden/>
    <w:rsid w:val="00B67CF2"/>
    <w:rPr>
      <w:b/>
      <w:bCs/>
      <w:vertAlign w:val="superscript"/>
    </w:rPr>
  </w:style>
  <w:style w:type="character" w:styleId="Numrodepage">
    <w:name w:val="page number"/>
    <w:rsid w:val="00B67CF2"/>
    <w:rPr>
      <w:rFonts w:ascii="Times New Roman" w:hAnsi="Times New Roman"/>
      <w:color w:val="000000"/>
      <w:sz w:val="24"/>
      <w:szCs w:val="24"/>
    </w:rPr>
  </w:style>
  <w:style w:type="paragraph" w:styleId="Titre">
    <w:name w:val="Title"/>
    <w:basedOn w:val="Normal"/>
    <w:next w:val="Sous-titre"/>
    <w:link w:val="TitreCar"/>
    <w:uiPriority w:val="10"/>
    <w:qFormat/>
    <w:rsid w:val="008879F3"/>
    <w:pPr>
      <w:keepNext/>
      <w:keepLines/>
      <w:spacing w:before="360" w:after="240" w:line="560" w:lineRule="exact"/>
      <w:ind w:left="0"/>
      <w:jc w:val="center"/>
    </w:pPr>
    <w:rPr>
      <w:b/>
      <w:bCs/>
      <w:kern w:val="28"/>
      <w:sz w:val="61"/>
      <w:szCs w:val="40"/>
    </w:rPr>
  </w:style>
  <w:style w:type="paragraph" w:styleId="Sous-titre">
    <w:name w:val="Subtitle"/>
    <w:basedOn w:val="Titre"/>
    <w:next w:val="Normal"/>
    <w:link w:val="Sous-titreCar"/>
    <w:uiPriority w:val="11"/>
    <w:qFormat/>
    <w:rsid w:val="005E5CFA"/>
    <w:pPr>
      <w:spacing w:before="0" w:line="240" w:lineRule="auto"/>
    </w:pPr>
    <w:rPr>
      <w:b w:val="0"/>
      <w:bCs w:val="0"/>
      <w:i/>
      <w:iCs/>
      <w:sz w:val="44"/>
      <w:szCs w:val="28"/>
    </w:rPr>
  </w:style>
  <w:style w:type="paragraph" w:styleId="Liste">
    <w:name w:val="List"/>
    <w:basedOn w:val="Normal"/>
    <w:link w:val="ListeCar"/>
    <w:rsid w:val="00CF0494"/>
    <w:pPr>
      <w:tabs>
        <w:tab w:val="left" w:pos="1440"/>
      </w:tabs>
      <w:spacing w:after="60"/>
      <w:ind w:left="1440" w:hanging="360"/>
    </w:pPr>
  </w:style>
  <w:style w:type="paragraph" w:styleId="Retraitcorpsdetexte">
    <w:name w:val="Body Text Indent"/>
    <w:basedOn w:val="Normal"/>
    <w:link w:val="RetraitcorpsdetexteCar"/>
    <w:rsid w:val="00CF0494"/>
    <w:pPr>
      <w:spacing w:after="120"/>
      <w:ind w:left="1080"/>
    </w:pPr>
  </w:style>
  <w:style w:type="paragraph" w:styleId="Corpsdetexte">
    <w:name w:val="Body Text"/>
    <w:basedOn w:val="Normal"/>
    <w:link w:val="CorpsdetexteCar"/>
    <w:rsid w:val="000676CD"/>
    <w:pPr>
      <w:spacing w:after="120" w:line="300" w:lineRule="auto"/>
    </w:pPr>
  </w:style>
  <w:style w:type="paragraph" w:styleId="Listenumros">
    <w:name w:val="List Number"/>
    <w:basedOn w:val="Liste"/>
    <w:rsid w:val="00B67CF2"/>
    <w:pPr>
      <w:tabs>
        <w:tab w:val="clear" w:pos="1440"/>
      </w:tabs>
      <w:spacing w:after="120"/>
    </w:pPr>
  </w:style>
  <w:style w:type="paragraph" w:styleId="Listecontinue2">
    <w:name w:val="List Continue 2"/>
    <w:basedOn w:val="Listecontinue"/>
    <w:rsid w:val="00B67CF2"/>
    <w:pPr>
      <w:ind w:left="1800"/>
    </w:pPr>
  </w:style>
  <w:style w:type="paragraph" w:styleId="Listecontinue">
    <w:name w:val="List Continue"/>
    <w:basedOn w:val="Liste"/>
    <w:semiHidden/>
    <w:rsid w:val="00B67CF2"/>
    <w:pPr>
      <w:tabs>
        <w:tab w:val="clear" w:pos="1440"/>
      </w:tabs>
      <w:spacing w:after="120"/>
      <w:ind w:firstLine="0"/>
    </w:pPr>
  </w:style>
  <w:style w:type="paragraph" w:styleId="TM1">
    <w:name w:val="toc 1"/>
    <w:basedOn w:val="TMbase"/>
    <w:uiPriority w:val="39"/>
    <w:rsid w:val="00D65C0F"/>
    <w:pPr>
      <w:tabs>
        <w:tab w:val="clear" w:pos="8640"/>
      </w:tabs>
      <w:spacing w:before="360" w:after="0"/>
      <w:ind w:right="0"/>
      <w:jc w:val="left"/>
    </w:pPr>
    <w:rPr>
      <w:b/>
      <w:bCs/>
      <w:caps/>
      <w:sz w:val="18"/>
    </w:rPr>
  </w:style>
  <w:style w:type="paragraph" w:styleId="TM2">
    <w:name w:val="toc 2"/>
    <w:basedOn w:val="TMbase"/>
    <w:uiPriority w:val="39"/>
    <w:rsid w:val="00B67CF2"/>
    <w:pPr>
      <w:tabs>
        <w:tab w:val="clear" w:pos="8640"/>
      </w:tabs>
      <w:spacing w:before="0" w:after="0" w:line="320" w:lineRule="exact"/>
      <w:ind w:left="240" w:right="0"/>
      <w:jc w:val="left"/>
    </w:pPr>
    <w:rPr>
      <w:smallCaps/>
      <w:sz w:val="20"/>
    </w:rPr>
  </w:style>
  <w:style w:type="paragraph" w:styleId="TM3">
    <w:name w:val="toc 3"/>
    <w:basedOn w:val="TMbase"/>
    <w:uiPriority w:val="39"/>
    <w:rsid w:val="00B67CF2"/>
    <w:pPr>
      <w:tabs>
        <w:tab w:val="clear" w:pos="8640"/>
      </w:tabs>
      <w:spacing w:before="0" w:after="0" w:line="320" w:lineRule="exact"/>
      <w:ind w:left="480" w:right="0"/>
      <w:jc w:val="left"/>
    </w:pPr>
    <w:rPr>
      <w:i/>
      <w:iCs/>
      <w:sz w:val="20"/>
    </w:rPr>
  </w:style>
  <w:style w:type="paragraph" w:styleId="Listenumros2">
    <w:name w:val="List Number 2"/>
    <w:basedOn w:val="Listenumros"/>
    <w:rsid w:val="00B67CF2"/>
    <w:pPr>
      <w:ind w:left="1800"/>
    </w:pPr>
  </w:style>
  <w:style w:type="paragraph" w:styleId="Notedebasdepage">
    <w:name w:val="footnote text"/>
    <w:basedOn w:val="Notedebasdepbase"/>
    <w:semiHidden/>
    <w:rsid w:val="000676CD"/>
    <w:pPr>
      <w:ind w:left="867"/>
    </w:pPr>
  </w:style>
  <w:style w:type="paragraph" w:styleId="Pieddepage">
    <w:name w:val="footer"/>
    <w:basedOn w:val="En-ttebase"/>
    <w:link w:val="PieddepageCar"/>
    <w:uiPriority w:val="99"/>
    <w:rsid w:val="002D5B3D"/>
    <w:pPr>
      <w:pBdr>
        <w:bottom w:val="none" w:sz="0" w:space="0" w:color="auto"/>
      </w:pBdr>
      <w:tabs>
        <w:tab w:val="clear" w:pos="4320"/>
        <w:tab w:val="center" w:pos="4680"/>
      </w:tabs>
    </w:pPr>
  </w:style>
  <w:style w:type="paragraph" w:styleId="Lgende">
    <w:name w:val="caption"/>
    <w:basedOn w:val="Normal"/>
    <w:next w:val="Normal"/>
    <w:link w:val="LgendeCar"/>
    <w:qFormat/>
    <w:rsid w:val="008879F3"/>
    <w:pPr>
      <w:keepNext/>
      <w:spacing w:before="120" w:after="240" w:line="240" w:lineRule="auto"/>
    </w:pPr>
    <w:rPr>
      <w:i/>
      <w:iCs/>
      <w:sz w:val="20"/>
      <w:szCs w:val="20"/>
    </w:rPr>
  </w:style>
  <w:style w:type="paragraph" w:styleId="Textedebulles">
    <w:name w:val="Balloon Text"/>
    <w:basedOn w:val="Normal"/>
    <w:link w:val="TextedebullesCar"/>
    <w:rsid w:val="000676CD"/>
    <w:pPr>
      <w:spacing w:line="240" w:lineRule="auto"/>
    </w:pPr>
    <w:rPr>
      <w:rFonts w:ascii="Tahoma" w:hAnsi="Tahoma" w:cs="Tahoma"/>
      <w:sz w:val="16"/>
      <w:szCs w:val="16"/>
    </w:rPr>
  </w:style>
  <w:style w:type="paragraph" w:styleId="Liste5">
    <w:name w:val="List 5"/>
    <w:basedOn w:val="Liste"/>
    <w:rsid w:val="00B67CF2"/>
    <w:pPr>
      <w:tabs>
        <w:tab w:val="clear" w:pos="1440"/>
        <w:tab w:val="left" w:pos="2880"/>
      </w:tabs>
      <w:ind w:left="2880"/>
    </w:pPr>
  </w:style>
  <w:style w:type="paragraph" w:styleId="Listepuces">
    <w:name w:val="List Bullet"/>
    <w:basedOn w:val="Liste"/>
    <w:link w:val="ListepucesCar"/>
    <w:rsid w:val="008B2D0A"/>
    <w:pPr>
      <w:numPr>
        <w:numId w:val="3"/>
      </w:numPr>
      <w:tabs>
        <w:tab w:val="clear" w:pos="1420"/>
      </w:tabs>
      <w:spacing w:after="120"/>
    </w:pPr>
  </w:style>
  <w:style w:type="character" w:customStyle="1" w:styleId="TextedebullesCar">
    <w:name w:val="Texte de bulles Car"/>
    <w:basedOn w:val="Policepardfaut"/>
    <w:link w:val="Textedebulles"/>
    <w:rsid w:val="000676CD"/>
    <w:rPr>
      <w:rFonts w:ascii="Tahoma" w:hAnsi="Tahoma" w:cs="Tahoma"/>
      <w:sz w:val="16"/>
      <w:szCs w:val="16"/>
    </w:rPr>
  </w:style>
  <w:style w:type="paragraph" w:customStyle="1" w:styleId="Notedebasdepbase">
    <w:name w:val="Note de bas de p. (base)"/>
    <w:basedOn w:val="Normal"/>
    <w:link w:val="NotedebasdepbaseCar"/>
    <w:rsid w:val="00B67CF2"/>
    <w:pPr>
      <w:keepLines/>
      <w:tabs>
        <w:tab w:val="left" w:pos="187"/>
      </w:tabs>
      <w:spacing w:line="220" w:lineRule="exact"/>
      <w:ind w:left="187" w:hanging="187"/>
    </w:pPr>
    <w:rPr>
      <w:sz w:val="18"/>
      <w:szCs w:val="18"/>
    </w:rPr>
  </w:style>
  <w:style w:type="paragraph" w:styleId="En-ttedemessage">
    <w:name w:val="Message Header"/>
    <w:basedOn w:val="Normal"/>
    <w:rsid w:val="00CF0494"/>
    <w:pPr>
      <w:keepLines/>
      <w:tabs>
        <w:tab w:val="left" w:pos="3600"/>
        <w:tab w:val="left" w:pos="4680"/>
      </w:tabs>
      <w:spacing w:after="120"/>
      <w:ind w:left="1080" w:right="2160" w:hanging="1080"/>
    </w:pPr>
    <w:rPr>
      <w:sz w:val="22"/>
      <w:szCs w:val="22"/>
    </w:rPr>
  </w:style>
  <w:style w:type="paragraph" w:styleId="Citation">
    <w:name w:val="Quote"/>
    <w:basedOn w:val="Normal"/>
    <w:autoRedefine/>
    <w:qFormat/>
    <w:rsid w:val="008879F3"/>
    <w:pPr>
      <w:keepLines/>
      <w:spacing w:before="600" w:after="120" w:line="240" w:lineRule="auto"/>
      <w:ind w:left="1077" w:right="720"/>
      <w:jc w:val="right"/>
    </w:pPr>
    <w:rPr>
      <w:i/>
      <w:iCs/>
    </w:rPr>
  </w:style>
  <w:style w:type="paragraph" w:customStyle="1" w:styleId="Corpsdetextesolidaire">
    <w:name w:val="Corps de texte solidaire"/>
    <w:basedOn w:val="Normal"/>
    <w:rsid w:val="00CF0494"/>
    <w:pPr>
      <w:keepNext/>
      <w:spacing w:after="120"/>
    </w:pPr>
  </w:style>
  <w:style w:type="paragraph" w:styleId="Date">
    <w:name w:val="Date"/>
    <w:basedOn w:val="Normal"/>
    <w:rsid w:val="00CF0494"/>
    <w:pPr>
      <w:spacing w:before="480"/>
    </w:pPr>
  </w:style>
  <w:style w:type="character" w:styleId="Appeldenotedefin">
    <w:name w:val="endnote reference"/>
    <w:semiHidden/>
    <w:rsid w:val="00B67CF2"/>
    <w:rPr>
      <w:b/>
      <w:bCs/>
      <w:vertAlign w:val="superscript"/>
    </w:rPr>
  </w:style>
  <w:style w:type="paragraph" w:styleId="Notedefin">
    <w:name w:val="endnote text"/>
    <w:basedOn w:val="Notedebasdepbase"/>
    <w:semiHidden/>
    <w:rsid w:val="00B67CF2"/>
  </w:style>
  <w:style w:type="paragraph" w:customStyle="1" w:styleId="En-ttebase">
    <w:name w:val="En-tête (base)"/>
    <w:basedOn w:val="Normal"/>
    <w:rsid w:val="00B67CF2"/>
    <w:pPr>
      <w:keepLines/>
      <w:pBdr>
        <w:bottom w:val="single" w:sz="6" w:space="4" w:color="auto"/>
      </w:pBdr>
      <w:tabs>
        <w:tab w:val="center" w:pos="4320"/>
        <w:tab w:val="right" w:pos="8640"/>
      </w:tabs>
    </w:pPr>
    <w:rPr>
      <w:b/>
      <w:bCs/>
      <w:caps/>
      <w:spacing w:val="20"/>
      <w:sz w:val="18"/>
      <w:szCs w:val="18"/>
    </w:rPr>
  </w:style>
  <w:style w:type="paragraph" w:styleId="En-tte">
    <w:name w:val="header"/>
    <w:basedOn w:val="En-ttebase"/>
    <w:rsid w:val="00D65C0F"/>
    <w:pPr>
      <w:pBdr>
        <w:bottom w:val="none" w:sz="0" w:space="0" w:color="auto"/>
      </w:pBdr>
      <w:ind w:left="0"/>
      <w:jc w:val="right"/>
    </w:pPr>
    <w:rPr>
      <w:rFonts w:ascii="PosterBodoni BT" w:hAnsi="PosterBodoni BT"/>
      <w:caps w:val="0"/>
      <w:smallCaps/>
      <w:color w:val="4F81BD" w:themeColor="accent1"/>
      <w:sz w:val="20"/>
      <w:szCs w:val="20"/>
    </w:rPr>
  </w:style>
  <w:style w:type="paragraph" w:styleId="Index1">
    <w:name w:val="index 1"/>
    <w:basedOn w:val="Indexbase"/>
    <w:semiHidden/>
    <w:rsid w:val="00B67CF2"/>
  </w:style>
  <w:style w:type="paragraph" w:customStyle="1" w:styleId="Indexbase">
    <w:name w:val="Index (base)"/>
    <w:basedOn w:val="Normal"/>
    <w:rsid w:val="00B67CF2"/>
    <w:pPr>
      <w:ind w:hanging="720"/>
    </w:pPr>
  </w:style>
  <w:style w:type="paragraph" w:styleId="Index2">
    <w:name w:val="index 2"/>
    <w:basedOn w:val="Indexbase"/>
    <w:semiHidden/>
    <w:rsid w:val="00B67CF2"/>
    <w:pPr>
      <w:ind w:left="1080"/>
    </w:pPr>
  </w:style>
  <w:style w:type="paragraph" w:styleId="Index3">
    <w:name w:val="index 3"/>
    <w:basedOn w:val="Indexbase"/>
    <w:semiHidden/>
    <w:rsid w:val="00B67CF2"/>
    <w:pPr>
      <w:ind w:left="1440"/>
    </w:pPr>
  </w:style>
  <w:style w:type="paragraph" w:styleId="Index4">
    <w:name w:val="index 4"/>
    <w:basedOn w:val="Indexbase"/>
    <w:semiHidden/>
    <w:rsid w:val="00B67CF2"/>
    <w:pPr>
      <w:ind w:left="1800"/>
    </w:pPr>
  </w:style>
  <w:style w:type="paragraph" w:styleId="Index5">
    <w:name w:val="index 5"/>
    <w:basedOn w:val="Indexbase"/>
    <w:semiHidden/>
    <w:rsid w:val="00B67CF2"/>
    <w:pPr>
      <w:ind w:left="2160"/>
    </w:pPr>
  </w:style>
  <w:style w:type="paragraph" w:styleId="Index6">
    <w:name w:val="index 6"/>
    <w:basedOn w:val="Indexbase"/>
    <w:semiHidden/>
    <w:rsid w:val="00B67CF2"/>
    <w:pPr>
      <w:ind w:left="2520"/>
    </w:pPr>
  </w:style>
  <w:style w:type="paragraph" w:styleId="Index7">
    <w:name w:val="index 7"/>
    <w:basedOn w:val="Indexbase"/>
    <w:semiHidden/>
    <w:rsid w:val="00B67CF2"/>
    <w:pPr>
      <w:ind w:left="2880"/>
    </w:pPr>
  </w:style>
  <w:style w:type="paragraph" w:styleId="Index8">
    <w:name w:val="index 8"/>
    <w:basedOn w:val="Indexbase"/>
    <w:semiHidden/>
    <w:rsid w:val="00B67CF2"/>
    <w:pPr>
      <w:ind w:left="3240"/>
    </w:pPr>
  </w:style>
  <w:style w:type="paragraph" w:styleId="Index9">
    <w:name w:val="index 9"/>
    <w:basedOn w:val="Indexbase"/>
    <w:semiHidden/>
    <w:rsid w:val="00B67CF2"/>
    <w:pPr>
      <w:ind w:left="3600"/>
    </w:pPr>
  </w:style>
  <w:style w:type="paragraph" w:styleId="Titreindex">
    <w:name w:val="index heading"/>
    <w:basedOn w:val="Normal"/>
    <w:next w:val="Index1"/>
    <w:semiHidden/>
    <w:rsid w:val="008879F3"/>
  </w:style>
  <w:style w:type="character" w:styleId="Numrodeligne">
    <w:name w:val="line number"/>
    <w:rsid w:val="00B67CF2"/>
    <w:rPr>
      <w:sz w:val="18"/>
      <w:szCs w:val="18"/>
    </w:rPr>
  </w:style>
  <w:style w:type="paragraph" w:styleId="Textedemacro">
    <w:name w:val="macro"/>
    <w:basedOn w:val="Normal"/>
    <w:semiHidden/>
    <w:rsid w:val="00CF0494"/>
    <w:pPr>
      <w:spacing w:line="240" w:lineRule="auto"/>
      <w:ind w:left="0"/>
    </w:pPr>
    <w:rPr>
      <w:rFonts w:ascii="Courier New" w:hAnsi="Courier New" w:cs="Courier New"/>
      <w:sz w:val="20"/>
      <w:szCs w:val="20"/>
    </w:rPr>
  </w:style>
  <w:style w:type="paragraph" w:customStyle="1" w:styleId="Sous-titrecouverture">
    <w:name w:val="Sous-titre couverture"/>
    <w:basedOn w:val="Normal"/>
    <w:next w:val="Normal"/>
    <w:rsid w:val="008879F3"/>
    <w:pPr>
      <w:keepNext/>
      <w:keepLines/>
      <w:spacing w:before="120" w:after="480" w:line="480" w:lineRule="exact"/>
      <w:ind w:left="0"/>
      <w:jc w:val="center"/>
    </w:pPr>
    <w:rPr>
      <w:b/>
      <w:bCs/>
      <w:i/>
      <w:iCs/>
      <w:kern w:val="28"/>
      <w:sz w:val="36"/>
      <w:szCs w:val="36"/>
    </w:rPr>
  </w:style>
  <w:style w:type="character" w:customStyle="1" w:styleId="Exposant">
    <w:name w:val="Exposant"/>
    <w:rsid w:val="00B67CF2"/>
    <w:rPr>
      <w:b/>
      <w:bCs/>
      <w:vertAlign w:val="superscript"/>
    </w:rPr>
  </w:style>
  <w:style w:type="paragraph" w:styleId="Tabledesrfrencesjuridiques">
    <w:name w:val="table of authorities"/>
    <w:basedOn w:val="TMbase"/>
    <w:semiHidden/>
    <w:rsid w:val="00B67CF2"/>
    <w:pPr>
      <w:ind w:left="360" w:right="0" w:hanging="360"/>
    </w:pPr>
  </w:style>
  <w:style w:type="paragraph" w:styleId="Tabledesillustrations">
    <w:name w:val="table of figures"/>
    <w:basedOn w:val="TMbase"/>
    <w:semiHidden/>
    <w:rsid w:val="00B67CF2"/>
    <w:pPr>
      <w:ind w:left="720" w:right="0" w:hanging="720"/>
    </w:pPr>
  </w:style>
  <w:style w:type="paragraph" w:styleId="TitreTR">
    <w:name w:val="toa heading"/>
    <w:basedOn w:val="Normal"/>
    <w:next w:val="Tabledesrfrencesjuridiques"/>
    <w:semiHidden/>
    <w:rsid w:val="008879F3"/>
  </w:style>
  <w:style w:type="paragraph" w:styleId="TM5">
    <w:name w:val="toc 5"/>
    <w:basedOn w:val="TMbase"/>
    <w:semiHidden/>
    <w:rsid w:val="00B67CF2"/>
    <w:pPr>
      <w:tabs>
        <w:tab w:val="clear" w:pos="8640"/>
      </w:tabs>
      <w:spacing w:before="0" w:after="0" w:line="320" w:lineRule="exact"/>
      <w:ind w:left="960" w:right="0"/>
      <w:jc w:val="left"/>
    </w:pPr>
    <w:rPr>
      <w:sz w:val="18"/>
      <w:szCs w:val="21"/>
    </w:rPr>
  </w:style>
  <w:style w:type="paragraph" w:styleId="TM6">
    <w:name w:val="toc 6"/>
    <w:basedOn w:val="TMbase"/>
    <w:semiHidden/>
    <w:rsid w:val="00B67CF2"/>
    <w:pPr>
      <w:tabs>
        <w:tab w:val="clear" w:pos="8640"/>
      </w:tabs>
      <w:spacing w:before="0" w:after="0" w:line="320" w:lineRule="exact"/>
      <w:ind w:left="1200" w:right="0"/>
      <w:jc w:val="left"/>
    </w:pPr>
    <w:rPr>
      <w:sz w:val="18"/>
      <w:szCs w:val="21"/>
    </w:rPr>
  </w:style>
  <w:style w:type="paragraph" w:styleId="TM7">
    <w:name w:val="toc 7"/>
    <w:basedOn w:val="TMbase"/>
    <w:semiHidden/>
    <w:rsid w:val="00B67CF2"/>
    <w:pPr>
      <w:tabs>
        <w:tab w:val="clear" w:pos="8640"/>
      </w:tabs>
      <w:spacing w:before="0" w:after="0" w:line="320" w:lineRule="exact"/>
      <w:ind w:left="1440" w:right="0"/>
      <w:jc w:val="left"/>
    </w:pPr>
    <w:rPr>
      <w:sz w:val="18"/>
      <w:szCs w:val="21"/>
    </w:rPr>
  </w:style>
  <w:style w:type="paragraph" w:styleId="TM8">
    <w:name w:val="toc 8"/>
    <w:basedOn w:val="TMbase"/>
    <w:semiHidden/>
    <w:rsid w:val="00B67CF2"/>
    <w:pPr>
      <w:tabs>
        <w:tab w:val="clear" w:pos="8640"/>
      </w:tabs>
      <w:spacing w:before="0" w:after="0" w:line="320" w:lineRule="exact"/>
      <w:ind w:left="1680" w:right="0"/>
      <w:jc w:val="left"/>
    </w:pPr>
    <w:rPr>
      <w:sz w:val="18"/>
      <w:szCs w:val="21"/>
    </w:rPr>
  </w:style>
  <w:style w:type="paragraph" w:styleId="TM9">
    <w:name w:val="toc 9"/>
    <w:basedOn w:val="TMbase"/>
    <w:semiHidden/>
    <w:rsid w:val="00B67CF2"/>
    <w:pPr>
      <w:tabs>
        <w:tab w:val="clear" w:pos="8640"/>
      </w:tabs>
      <w:spacing w:before="0" w:after="0" w:line="320" w:lineRule="exact"/>
      <w:ind w:left="1920" w:right="0"/>
      <w:jc w:val="left"/>
    </w:pPr>
    <w:rPr>
      <w:sz w:val="18"/>
      <w:szCs w:val="21"/>
    </w:rPr>
  </w:style>
  <w:style w:type="paragraph" w:customStyle="1" w:styleId="Alattention">
    <w:name w:val="A l'attention"/>
    <w:basedOn w:val="Normal"/>
    <w:rsid w:val="00CF0494"/>
    <w:pPr>
      <w:spacing w:before="120" w:after="60"/>
      <w:ind w:left="0"/>
    </w:pPr>
    <w:rPr>
      <w:i/>
      <w:iCs/>
    </w:rPr>
  </w:style>
  <w:style w:type="paragraph" w:customStyle="1" w:styleId="Listenumespaprs">
    <w:name w:val="Liste num. (esp. après)"/>
    <w:basedOn w:val="Listenumros"/>
    <w:next w:val="Normal"/>
    <w:rsid w:val="00B67CF2"/>
    <w:pPr>
      <w:spacing w:after="240"/>
    </w:pPr>
  </w:style>
  <w:style w:type="paragraph" w:customStyle="1" w:styleId="Listenumespavant">
    <w:name w:val="Liste num. (esp. avant)"/>
    <w:basedOn w:val="Listenumros"/>
    <w:next w:val="Listenumros"/>
    <w:rsid w:val="00B67CF2"/>
    <w:pPr>
      <w:spacing w:before="60"/>
    </w:pPr>
  </w:style>
  <w:style w:type="paragraph" w:customStyle="1" w:styleId="Objet">
    <w:name w:val="Objet"/>
    <w:basedOn w:val="Normal"/>
    <w:next w:val="Corpsdetexte"/>
    <w:rsid w:val="00CF0494"/>
    <w:pPr>
      <w:spacing w:before="120" w:after="120"/>
    </w:pPr>
    <w:rPr>
      <w:b/>
      <w:bCs/>
      <w:i/>
      <w:iCs/>
    </w:rPr>
  </w:style>
  <w:style w:type="paragraph" w:customStyle="1" w:styleId="Sous-titrepartie">
    <w:name w:val="Sous-titre partie"/>
    <w:basedOn w:val="Normal"/>
    <w:next w:val="Normal"/>
    <w:rsid w:val="008879F3"/>
    <w:pPr>
      <w:keepNext/>
      <w:keepLines/>
      <w:spacing w:after="480" w:line="240" w:lineRule="auto"/>
      <w:ind w:left="0"/>
      <w:jc w:val="center"/>
    </w:pPr>
    <w:rPr>
      <w:b/>
      <w:bCs/>
      <w:i/>
      <w:iCs/>
      <w:kern w:val="28"/>
      <w:sz w:val="32"/>
      <w:szCs w:val="32"/>
    </w:rPr>
  </w:style>
  <w:style w:type="paragraph" w:customStyle="1" w:styleId="Textetableau">
    <w:name w:val="Texte tableau"/>
    <w:basedOn w:val="Normal"/>
    <w:autoRedefine/>
    <w:rsid w:val="008C3C54"/>
    <w:pPr>
      <w:ind w:left="57"/>
      <w:jc w:val="center"/>
    </w:pPr>
    <w:rPr>
      <w:sz w:val="22"/>
    </w:rPr>
  </w:style>
  <w:style w:type="paragraph" w:customStyle="1" w:styleId="Titretableau">
    <w:name w:val="Titre tableau"/>
    <w:basedOn w:val="Normal"/>
    <w:autoRedefine/>
    <w:rsid w:val="00D25A31"/>
    <w:pPr>
      <w:ind w:left="0"/>
      <w:jc w:val="center"/>
    </w:pPr>
    <w:rPr>
      <w:b/>
      <w:sz w:val="22"/>
    </w:rPr>
  </w:style>
  <w:style w:type="paragraph" w:customStyle="1" w:styleId="Pieddeprempage">
    <w:name w:val="Pied de prem. page"/>
    <w:basedOn w:val="Pieddepage"/>
    <w:rsid w:val="00B67CF2"/>
    <w:pPr>
      <w:tabs>
        <w:tab w:val="clear" w:pos="8640"/>
      </w:tabs>
      <w:jc w:val="center"/>
    </w:pPr>
  </w:style>
  <w:style w:type="paragraph" w:customStyle="1" w:styleId="Pieddepagepaire">
    <w:name w:val="Pied de page paire"/>
    <w:basedOn w:val="Pieddepage"/>
    <w:rsid w:val="00B67CF2"/>
  </w:style>
  <w:style w:type="paragraph" w:customStyle="1" w:styleId="Pieddepageimpaire">
    <w:name w:val="Pied de page impaire"/>
    <w:basedOn w:val="Pieddepage"/>
    <w:rsid w:val="00B67CF2"/>
    <w:pPr>
      <w:tabs>
        <w:tab w:val="right" w:pos="0"/>
      </w:tabs>
      <w:jc w:val="right"/>
    </w:pPr>
  </w:style>
  <w:style w:type="paragraph" w:customStyle="1" w:styleId="En-ttedeprempage">
    <w:name w:val="En-tête de prem. page"/>
    <w:basedOn w:val="En-tte"/>
    <w:rsid w:val="00B67CF2"/>
    <w:pPr>
      <w:tabs>
        <w:tab w:val="clear" w:pos="8640"/>
      </w:tabs>
      <w:jc w:val="center"/>
    </w:pPr>
  </w:style>
  <w:style w:type="paragraph" w:customStyle="1" w:styleId="En-ttepagepaire">
    <w:name w:val="En-tête page paire"/>
    <w:basedOn w:val="En-tte"/>
    <w:rsid w:val="00B67CF2"/>
  </w:style>
  <w:style w:type="paragraph" w:customStyle="1" w:styleId="En-ttepageimpaire">
    <w:name w:val="En-tête page impaire"/>
    <w:basedOn w:val="En-tte"/>
    <w:rsid w:val="00B67CF2"/>
    <w:pPr>
      <w:tabs>
        <w:tab w:val="right" w:pos="0"/>
      </w:tabs>
    </w:pPr>
  </w:style>
  <w:style w:type="paragraph" w:customStyle="1" w:styleId="Listepucesespavant">
    <w:name w:val="Liste puces (esp. avant)"/>
    <w:basedOn w:val="Listepuces"/>
    <w:next w:val="Listepuces"/>
    <w:rsid w:val="00B67CF2"/>
    <w:pPr>
      <w:spacing w:before="60"/>
    </w:pPr>
  </w:style>
  <w:style w:type="paragraph" w:customStyle="1" w:styleId="Listepucesespaprs">
    <w:name w:val="Liste puces (esp. après)"/>
    <w:basedOn w:val="Listepuces"/>
    <w:next w:val="Normal"/>
    <w:rsid w:val="00B67CF2"/>
    <w:pPr>
      <w:spacing w:after="240"/>
    </w:pPr>
  </w:style>
  <w:style w:type="paragraph" w:customStyle="1" w:styleId="Listeespavant">
    <w:name w:val="Liste (esp. avant)"/>
    <w:basedOn w:val="Liste"/>
    <w:next w:val="Liste"/>
    <w:rsid w:val="00B67CF2"/>
    <w:pPr>
      <w:spacing w:before="60"/>
    </w:pPr>
  </w:style>
  <w:style w:type="paragraph" w:customStyle="1" w:styleId="Listeespaprs">
    <w:name w:val="Liste (esp. après)"/>
    <w:basedOn w:val="Liste"/>
    <w:next w:val="Normal"/>
    <w:rsid w:val="00B67CF2"/>
    <w:pPr>
      <w:spacing w:after="240"/>
    </w:pPr>
  </w:style>
  <w:style w:type="paragraph" w:customStyle="1" w:styleId="Sous-titrechapitre">
    <w:name w:val="Sous-titre chapitre"/>
    <w:basedOn w:val="Normal"/>
    <w:next w:val="Normal"/>
    <w:rsid w:val="008879F3"/>
    <w:pPr>
      <w:keepNext/>
      <w:keepLines/>
      <w:spacing w:after="480" w:line="240" w:lineRule="auto"/>
      <w:ind w:left="0"/>
      <w:jc w:val="center"/>
    </w:pPr>
    <w:rPr>
      <w:b/>
      <w:bCs/>
      <w:i/>
      <w:iCs/>
      <w:kern w:val="28"/>
    </w:rPr>
  </w:style>
  <w:style w:type="paragraph" w:styleId="Listenumros5">
    <w:name w:val="List Number 5"/>
    <w:basedOn w:val="Listenumros"/>
    <w:rsid w:val="00B67CF2"/>
    <w:pPr>
      <w:ind w:left="2880"/>
    </w:pPr>
  </w:style>
  <w:style w:type="paragraph" w:styleId="Listenumros4">
    <w:name w:val="List Number 4"/>
    <w:basedOn w:val="Listenumros"/>
    <w:rsid w:val="00B67CF2"/>
    <w:pPr>
      <w:ind w:left="2520"/>
    </w:pPr>
  </w:style>
  <w:style w:type="paragraph" w:styleId="Listenumros3">
    <w:name w:val="List Number 3"/>
    <w:basedOn w:val="Listenumros"/>
    <w:rsid w:val="00B67CF2"/>
    <w:pPr>
      <w:ind w:left="2160"/>
    </w:pPr>
  </w:style>
  <w:style w:type="paragraph" w:styleId="Listepuces5">
    <w:name w:val="List Bullet 5"/>
    <w:basedOn w:val="Listepuces"/>
    <w:rsid w:val="00B67CF2"/>
    <w:pPr>
      <w:ind w:left="2880"/>
    </w:pPr>
  </w:style>
  <w:style w:type="paragraph" w:styleId="Listepuces4">
    <w:name w:val="List Bullet 4"/>
    <w:basedOn w:val="Listepuces"/>
    <w:rsid w:val="00B67CF2"/>
    <w:pPr>
      <w:ind w:left="2520"/>
    </w:pPr>
  </w:style>
  <w:style w:type="paragraph" w:styleId="Listepuces3">
    <w:name w:val="List Bullet 3"/>
    <w:basedOn w:val="Listepuces"/>
    <w:rsid w:val="00B67CF2"/>
    <w:pPr>
      <w:ind w:left="2160"/>
    </w:pPr>
  </w:style>
  <w:style w:type="paragraph" w:styleId="Listepuces2">
    <w:name w:val="List Bullet 2"/>
    <w:basedOn w:val="Listepuces"/>
    <w:rsid w:val="00B67CF2"/>
    <w:pPr>
      <w:ind w:left="1800"/>
    </w:pPr>
  </w:style>
  <w:style w:type="paragraph" w:styleId="Liste4">
    <w:name w:val="List 4"/>
    <w:basedOn w:val="Liste"/>
    <w:rsid w:val="00B67CF2"/>
    <w:pPr>
      <w:tabs>
        <w:tab w:val="clear" w:pos="1440"/>
        <w:tab w:val="left" w:pos="2520"/>
      </w:tabs>
      <w:ind w:left="2520"/>
    </w:pPr>
  </w:style>
  <w:style w:type="paragraph" w:styleId="Liste3">
    <w:name w:val="List 3"/>
    <w:basedOn w:val="Liste"/>
    <w:rsid w:val="00B67CF2"/>
    <w:pPr>
      <w:tabs>
        <w:tab w:val="clear" w:pos="1440"/>
        <w:tab w:val="left" w:pos="2160"/>
      </w:tabs>
      <w:ind w:left="2160"/>
    </w:pPr>
  </w:style>
  <w:style w:type="paragraph" w:styleId="Liste2">
    <w:name w:val="List 2"/>
    <w:basedOn w:val="Liste"/>
    <w:rsid w:val="00B67CF2"/>
    <w:pPr>
      <w:tabs>
        <w:tab w:val="clear" w:pos="1440"/>
        <w:tab w:val="left" w:pos="1800"/>
      </w:tabs>
      <w:ind w:left="1800"/>
    </w:pPr>
  </w:style>
  <w:style w:type="character" w:styleId="Marquedecommentaire">
    <w:name w:val="annotation reference"/>
    <w:semiHidden/>
    <w:rsid w:val="00B67CF2"/>
    <w:rPr>
      <w:sz w:val="16"/>
      <w:szCs w:val="16"/>
    </w:rPr>
  </w:style>
  <w:style w:type="paragraph" w:styleId="Commentaire">
    <w:name w:val="annotation text"/>
    <w:basedOn w:val="Notedebasdepbase"/>
    <w:link w:val="CommentaireCar"/>
    <w:semiHidden/>
    <w:rsid w:val="00B67CF2"/>
    <w:pPr>
      <w:spacing w:after="120"/>
    </w:pPr>
  </w:style>
  <w:style w:type="paragraph" w:styleId="Listecontinue3">
    <w:name w:val="List Continue 3"/>
    <w:basedOn w:val="Listecontinue"/>
    <w:rsid w:val="00B67CF2"/>
    <w:pPr>
      <w:ind w:left="2160"/>
    </w:pPr>
  </w:style>
  <w:style w:type="paragraph" w:styleId="Listecontinue4">
    <w:name w:val="List Continue 4"/>
    <w:basedOn w:val="Listecontinue"/>
    <w:rsid w:val="00B67CF2"/>
    <w:pPr>
      <w:ind w:left="2520"/>
    </w:pPr>
  </w:style>
  <w:style w:type="paragraph" w:styleId="Listecontinue5">
    <w:name w:val="List Continue 5"/>
    <w:basedOn w:val="Listecontinue"/>
    <w:rsid w:val="00B67CF2"/>
    <w:pPr>
      <w:ind w:left="2880"/>
    </w:pPr>
  </w:style>
  <w:style w:type="paragraph" w:styleId="Retraitnormal">
    <w:name w:val="Normal Indent"/>
    <w:basedOn w:val="Normal"/>
    <w:rsid w:val="00B67CF2"/>
    <w:pPr>
      <w:ind w:left="1080"/>
    </w:pPr>
  </w:style>
  <w:style w:type="paragraph" w:styleId="Salutations">
    <w:name w:val="Salutation"/>
    <w:basedOn w:val="Normal"/>
    <w:next w:val="Normal"/>
    <w:rsid w:val="00B67CF2"/>
  </w:style>
  <w:style w:type="character" w:styleId="Accentuation">
    <w:name w:val="Emphasis"/>
    <w:qFormat/>
    <w:rsid w:val="008714C2"/>
    <w:rPr>
      <w:i/>
      <w:iCs/>
    </w:rPr>
  </w:style>
  <w:style w:type="paragraph" w:customStyle="1" w:styleId="TABLEAULEGENDE">
    <w:name w:val="TABLEAU LEGENDE"/>
    <w:basedOn w:val="Lgende"/>
    <w:link w:val="TABLEAULEGENDECar"/>
    <w:rsid w:val="00E77563"/>
    <w:pPr>
      <w:spacing w:before="480"/>
      <w:ind w:left="0"/>
    </w:pPr>
  </w:style>
  <w:style w:type="paragraph" w:customStyle="1" w:styleId="zonededessin">
    <w:name w:val="zone de dessin"/>
    <w:basedOn w:val="Normal"/>
    <w:rsid w:val="00E77563"/>
    <w:pPr>
      <w:pBdr>
        <w:top w:val="single" w:sz="6" w:space="1" w:color="auto"/>
        <w:left w:val="single" w:sz="6" w:space="1" w:color="auto"/>
        <w:bottom w:val="single" w:sz="6" w:space="1" w:color="auto"/>
        <w:right w:val="single" w:sz="6" w:space="1" w:color="auto"/>
      </w:pBdr>
    </w:pPr>
    <w:rPr>
      <w:sz w:val="22"/>
    </w:rPr>
  </w:style>
  <w:style w:type="character" w:customStyle="1" w:styleId="Titre2Car">
    <w:name w:val="Titre 2 Car"/>
    <w:link w:val="Titre2"/>
    <w:rsid w:val="002C7BAC"/>
    <w:rPr>
      <w:rFonts w:ascii="Arial" w:hAnsi="Arial" w:cs="Arial"/>
      <w:b/>
      <w:bCs/>
      <w:kern w:val="28"/>
      <w:sz w:val="24"/>
      <w:szCs w:val="24"/>
      <w:lang w:val="fr-FR" w:eastAsia="fr-FR" w:bidi="ar-SA"/>
    </w:rPr>
  </w:style>
  <w:style w:type="paragraph" w:customStyle="1" w:styleId="source">
    <w:name w:val="source"/>
    <w:basedOn w:val="Normal"/>
    <w:link w:val="sourceCar"/>
    <w:autoRedefine/>
    <w:rsid w:val="00CF0494"/>
    <w:pPr>
      <w:spacing w:after="120"/>
    </w:pPr>
    <w:rPr>
      <w:i/>
      <w:sz w:val="20"/>
    </w:rPr>
  </w:style>
  <w:style w:type="character" w:customStyle="1" w:styleId="StyleAppelnotedebasdepItalique">
    <w:name w:val="Style Appel note de bas de p. + Italique"/>
    <w:rsid w:val="008407FA"/>
    <w:rPr>
      <w:b/>
      <w:bCs/>
      <w:i/>
      <w:iCs/>
      <w:vertAlign w:val="superscript"/>
    </w:rPr>
  </w:style>
  <w:style w:type="character" w:customStyle="1" w:styleId="sourceCar">
    <w:name w:val="source Car"/>
    <w:link w:val="source"/>
    <w:rsid w:val="00CF0494"/>
    <w:rPr>
      <w:i/>
      <w:sz w:val="24"/>
      <w:szCs w:val="24"/>
      <w:lang w:val="fr-FR" w:eastAsia="fr-FR" w:bidi="ar-SA"/>
    </w:rPr>
  </w:style>
  <w:style w:type="character" w:customStyle="1" w:styleId="LgendeCar">
    <w:name w:val="Légende Car"/>
    <w:link w:val="Lgende"/>
    <w:rsid w:val="008D7B12"/>
    <w:rPr>
      <w:i/>
      <w:iCs/>
      <w:sz w:val="24"/>
      <w:szCs w:val="24"/>
      <w:lang w:val="fr-FR" w:eastAsia="fr-FR" w:bidi="ar-SA"/>
    </w:rPr>
  </w:style>
  <w:style w:type="character" w:customStyle="1" w:styleId="TABLEAULEGENDECar">
    <w:name w:val="TABLEAU LEGENDE Car"/>
    <w:basedOn w:val="LgendeCar"/>
    <w:link w:val="TABLEAULEGENDE"/>
    <w:rsid w:val="008D7B12"/>
    <w:rPr>
      <w:i/>
      <w:iCs/>
      <w:sz w:val="24"/>
      <w:szCs w:val="24"/>
      <w:lang w:val="fr-FR" w:eastAsia="fr-FR" w:bidi="ar-SA"/>
    </w:rPr>
  </w:style>
  <w:style w:type="character" w:customStyle="1" w:styleId="NotedebasdepbaseCar">
    <w:name w:val="Note de bas de p. (base) Car"/>
    <w:link w:val="Notedebasdepbase"/>
    <w:rsid w:val="002D5B3D"/>
    <w:rPr>
      <w:sz w:val="18"/>
      <w:szCs w:val="18"/>
    </w:rPr>
  </w:style>
  <w:style w:type="paragraph" w:customStyle="1" w:styleId="IMAGE">
    <w:name w:val="IMAGE"/>
    <w:basedOn w:val="Normal"/>
    <w:rsid w:val="002D5B3D"/>
    <w:pPr>
      <w:pBdr>
        <w:top w:val="single" w:sz="6" w:space="1" w:color="auto"/>
        <w:left w:val="single" w:sz="6" w:space="1" w:color="auto"/>
        <w:bottom w:val="single" w:sz="6" w:space="1" w:color="auto"/>
        <w:right w:val="single" w:sz="6" w:space="1" w:color="auto"/>
      </w:pBdr>
      <w:spacing w:line="240" w:lineRule="auto"/>
    </w:pPr>
    <w:rPr>
      <w:sz w:val="22"/>
    </w:rPr>
  </w:style>
  <w:style w:type="paragraph" w:customStyle="1" w:styleId="ESPACE">
    <w:name w:val="ESPACE"/>
    <w:rsid w:val="008879F3"/>
    <w:pPr>
      <w:spacing w:after="120"/>
    </w:pPr>
    <w:rPr>
      <w:sz w:val="24"/>
      <w:szCs w:val="24"/>
    </w:rPr>
  </w:style>
  <w:style w:type="table" w:styleId="Grilledutableau">
    <w:name w:val="Table Grid"/>
    <w:basedOn w:val="TableauNormal"/>
    <w:uiPriority w:val="59"/>
    <w:rsid w:val="005E0833"/>
    <w:pPr>
      <w:overflowPunct w:val="0"/>
      <w:autoSpaceDE w:val="0"/>
      <w:autoSpaceDN w:val="0"/>
      <w:adjustRightInd w:val="0"/>
      <w:spacing w:line="320" w:lineRule="exact"/>
      <w:ind w:left="72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aireCar">
    <w:name w:val="Commentaire Car"/>
    <w:basedOn w:val="NotedebasdepbaseCar"/>
    <w:link w:val="Commentaire"/>
    <w:semiHidden/>
    <w:rsid w:val="002D5B3D"/>
    <w:rPr>
      <w:sz w:val="18"/>
      <w:szCs w:val="18"/>
    </w:rPr>
  </w:style>
  <w:style w:type="character" w:styleId="Lienhypertexte">
    <w:name w:val="Hyperlink"/>
    <w:uiPriority w:val="99"/>
    <w:rsid w:val="00CE2807"/>
    <w:rPr>
      <w:color w:val="0000FF"/>
      <w:u w:val="single"/>
    </w:rPr>
  </w:style>
  <w:style w:type="character" w:customStyle="1" w:styleId="ListeCar">
    <w:name w:val="Liste Car"/>
    <w:link w:val="Liste"/>
    <w:rsid w:val="00A07AFC"/>
    <w:rPr>
      <w:sz w:val="24"/>
      <w:szCs w:val="24"/>
      <w:lang w:val="fr-FR" w:eastAsia="fr-FR" w:bidi="ar-SA"/>
    </w:rPr>
  </w:style>
  <w:style w:type="character" w:customStyle="1" w:styleId="ListepucesCar">
    <w:name w:val="Liste à puces Car"/>
    <w:basedOn w:val="ListeCar"/>
    <w:link w:val="Listepuces"/>
    <w:rsid w:val="008B2D0A"/>
    <w:rPr>
      <w:sz w:val="24"/>
      <w:szCs w:val="24"/>
      <w:lang w:val="fr-FR" w:eastAsia="fr-FR" w:bidi="ar-SA"/>
    </w:rPr>
  </w:style>
  <w:style w:type="character" w:customStyle="1" w:styleId="PieddepageCar">
    <w:name w:val="Pied de page Car"/>
    <w:link w:val="Pieddepage"/>
    <w:uiPriority w:val="99"/>
    <w:rsid w:val="002D5B3D"/>
    <w:rPr>
      <w:b/>
      <w:bCs/>
      <w:caps/>
      <w:spacing w:val="20"/>
      <w:sz w:val="18"/>
      <w:szCs w:val="18"/>
    </w:rPr>
  </w:style>
  <w:style w:type="paragraph" w:customStyle="1" w:styleId="1FILIEREUBX4">
    <w:name w:val="1. FILIERE UBX4"/>
    <w:next w:val="Corpsdetexte"/>
    <w:rsid w:val="009763D7"/>
    <w:pPr>
      <w:spacing w:before="20" w:after="120"/>
      <w:jc w:val="center"/>
    </w:pPr>
    <w:rPr>
      <w:rFonts w:ascii="Cambria" w:hAnsi="Cambria"/>
      <w:b/>
      <w:smallCaps/>
      <w:color w:val="628BAD"/>
      <w:sz w:val="24"/>
      <w:szCs w:val="24"/>
    </w:rPr>
  </w:style>
  <w:style w:type="character" w:customStyle="1" w:styleId="TitreCar">
    <w:name w:val="Titre Car"/>
    <w:link w:val="Titre"/>
    <w:uiPriority w:val="10"/>
    <w:rsid w:val="005E5CFA"/>
    <w:rPr>
      <w:b/>
      <w:bCs/>
      <w:kern w:val="28"/>
      <w:sz w:val="61"/>
      <w:szCs w:val="40"/>
    </w:rPr>
  </w:style>
  <w:style w:type="paragraph" w:customStyle="1" w:styleId="5NOMAUTEURDOC">
    <w:name w:val="5. NOM AUTEUR DOC"/>
    <w:rsid w:val="009763D7"/>
    <w:pPr>
      <w:spacing w:before="120" w:after="120"/>
      <w:jc w:val="center"/>
    </w:pPr>
    <w:rPr>
      <w:rFonts w:ascii="Cambria" w:hAnsi="Cambria"/>
      <w:b/>
      <w:spacing w:val="5"/>
      <w:kern w:val="28"/>
      <w:sz w:val="36"/>
      <w:szCs w:val="52"/>
    </w:rPr>
  </w:style>
  <w:style w:type="character" w:customStyle="1" w:styleId="Sous-titreCar">
    <w:name w:val="Sous-titre Car"/>
    <w:link w:val="Sous-titre"/>
    <w:uiPriority w:val="11"/>
    <w:rsid w:val="005E5CFA"/>
    <w:rPr>
      <w:i/>
      <w:iCs/>
      <w:kern w:val="28"/>
      <w:sz w:val="44"/>
      <w:szCs w:val="28"/>
    </w:rPr>
  </w:style>
  <w:style w:type="paragraph" w:customStyle="1" w:styleId="4BARREGRASSE">
    <w:name w:val="4. BARRE GRASSE"/>
    <w:next w:val="Corpsdetexte"/>
    <w:rsid w:val="005E5CFA"/>
    <w:pPr>
      <w:shd w:val="clear" w:color="auto" w:fill="365F91" w:themeFill="accent1" w:themeFillShade="BF"/>
      <w:spacing w:before="600" w:after="600"/>
      <w:jc w:val="center"/>
    </w:pPr>
    <w:rPr>
      <w:rFonts w:ascii="Cambria" w:hAnsi="Cambria"/>
      <w:b/>
      <w:color w:val="FFFFFF"/>
      <w:szCs w:val="24"/>
    </w:rPr>
  </w:style>
  <w:style w:type="paragraph" w:customStyle="1" w:styleId="2SPECIALITEUBX4">
    <w:name w:val="2. SPECIALITE UBX4"/>
    <w:basedOn w:val="1FILIEREUBX4"/>
    <w:rsid w:val="009763D7"/>
    <w:pPr>
      <w:spacing w:before="60" w:after="60"/>
    </w:pPr>
    <w:rPr>
      <w:b w:val="0"/>
      <w:spacing w:val="-8"/>
      <w:sz w:val="18"/>
    </w:rPr>
  </w:style>
  <w:style w:type="paragraph" w:customStyle="1" w:styleId="3TYPEDOCUMENT">
    <w:name w:val="3. TYPE DOCUMENT"/>
    <w:rsid w:val="005E5CFA"/>
    <w:pPr>
      <w:spacing w:before="720" w:after="720"/>
      <w:jc w:val="center"/>
    </w:pPr>
    <w:rPr>
      <w:rFonts w:ascii="Cambria" w:hAnsi="Cambria"/>
      <w:iCs/>
      <w:color w:val="365F91" w:themeColor="accent1" w:themeShade="BF"/>
      <w:spacing w:val="15"/>
      <w:kern w:val="28"/>
      <w:sz w:val="48"/>
      <w:szCs w:val="52"/>
    </w:rPr>
  </w:style>
  <w:style w:type="paragraph" w:customStyle="1" w:styleId="6REFERENCES">
    <w:name w:val="6. REFERENCES"/>
    <w:rsid w:val="009763D7"/>
    <w:pPr>
      <w:widowControl w:val="0"/>
      <w:spacing w:before="60" w:after="60"/>
      <w:jc w:val="right"/>
    </w:pPr>
    <w:rPr>
      <w:rFonts w:ascii="Calibri" w:hAnsi="Calibri"/>
      <w:sz w:val="28"/>
      <w:szCs w:val="24"/>
    </w:rPr>
  </w:style>
  <w:style w:type="paragraph" w:customStyle="1" w:styleId="7DIFFUSIONDOC">
    <w:name w:val="7. DIFFUSION DOC"/>
    <w:rsid w:val="009763D7"/>
    <w:pPr>
      <w:spacing w:before="60" w:after="60"/>
      <w:jc w:val="center"/>
    </w:pPr>
    <w:rPr>
      <w:rFonts w:ascii="Calibri" w:hAnsi="Calibri"/>
      <w:b/>
      <w:color w:val="628BAD"/>
      <w:sz w:val="28"/>
      <w:szCs w:val="24"/>
    </w:rPr>
  </w:style>
  <w:style w:type="character" w:customStyle="1" w:styleId="CorpsdetexteCar">
    <w:name w:val="Corps de texte Car"/>
    <w:link w:val="Corpsdetexte"/>
    <w:rsid w:val="000676CD"/>
    <w:rPr>
      <w:sz w:val="24"/>
      <w:szCs w:val="24"/>
    </w:rPr>
  </w:style>
  <w:style w:type="character" w:customStyle="1" w:styleId="RetraitcorpsdetexteCar">
    <w:name w:val="Retrait corps de texte Car"/>
    <w:link w:val="Retraitcorpsdetexte"/>
    <w:rsid w:val="002D5B3D"/>
    <w:rPr>
      <w:sz w:val="24"/>
      <w:szCs w:val="24"/>
    </w:rPr>
  </w:style>
  <w:style w:type="paragraph" w:customStyle="1" w:styleId="TITREHORSTM">
    <w:name w:val="TITRE HORS TM"/>
    <w:qFormat/>
    <w:rsid w:val="00D65C0F"/>
    <w:pPr>
      <w:pageBreakBefore/>
      <w:pBdr>
        <w:bottom w:val="single" w:sz="6" w:space="1" w:color="auto"/>
      </w:pBdr>
    </w:pPr>
    <w:rPr>
      <w:rFonts w:ascii="Arial" w:hAnsi="Arial" w:cs="Arial"/>
      <w:b/>
      <w:bCs/>
      <w:caps/>
      <w:kern w:val="28"/>
      <w:sz w:val="28"/>
      <w:szCs w:val="28"/>
    </w:rPr>
  </w:style>
  <w:style w:type="character" w:customStyle="1" w:styleId="ACCGRAS">
    <w:name w:val="ACC GRAS"/>
    <w:basedOn w:val="Accentuation"/>
    <w:uiPriority w:val="1"/>
    <w:qFormat/>
    <w:rsid w:val="00825D2C"/>
    <w:rPr>
      <w:b/>
      <w:i w:val="0"/>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001DA-D5C9-44FE-80B4-BC776AD13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63</Pages>
  <Words>17258</Words>
  <Characters>94924</Characters>
  <Application>Microsoft Office Word</Application>
  <DocSecurity>0</DocSecurity>
  <Lines>791</Lines>
  <Paragraphs>223</Paragraphs>
  <ScaleCrop>false</ScaleCrop>
  <HeadingPairs>
    <vt:vector size="2" baseType="variant">
      <vt:variant>
        <vt:lpstr>Titre</vt:lpstr>
      </vt:variant>
      <vt:variant>
        <vt:i4>1</vt:i4>
      </vt:variant>
    </vt:vector>
  </HeadingPairs>
  <TitlesOfParts>
    <vt:vector size="1" baseType="lpstr">
      <vt:lpstr>1</vt:lpstr>
    </vt:vector>
  </TitlesOfParts>
  <Company>pc</Company>
  <LinksUpToDate>false</LinksUpToDate>
  <CharactersWithSpaces>111959</CharactersWithSpaces>
  <SharedDoc>false</SharedDoc>
  <HLinks>
    <vt:vector size="306" baseType="variant">
      <vt:variant>
        <vt:i4>1245245</vt:i4>
      </vt:variant>
      <vt:variant>
        <vt:i4>302</vt:i4>
      </vt:variant>
      <vt:variant>
        <vt:i4>0</vt:i4>
      </vt:variant>
      <vt:variant>
        <vt:i4>5</vt:i4>
      </vt:variant>
      <vt:variant>
        <vt:lpwstr/>
      </vt:variant>
      <vt:variant>
        <vt:lpwstr>_Toc113964987</vt:lpwstr>
      </vt:variant>
      <vt:variant>
        <vt:i4>1245245</vt:i4>
      </vt:variant>
      <vt:variant>
        <vt:i4>296</vt:i4>
      </vt:variant>
      <vt:variant>
        <vt:i4>0</vt:i4>
      </vt:variant>
      <vt:variant>
        <vt:i4>5</vt:i4>
      </vt:variant>
      <vt:variant>
        <vt:lpwstr/>
      </vt:variant>
      <vt:variant>
        <vt:lpwstr>_Toc113964986</vt:lpwstr>
      </vt:variant>
      <vt:variant>
        <vt:i4>1245245</vt:i4>
      </vt:variant>
      <vt:variant>
        <vt:i4>290</vt:i4>
      </vt:variant>
      <vt:variant>
        <vt:i4>0</vt:i4>
      </vt:variant>
      <vt:variant>
        <vt:i4>5</vt:i4>
      </vt:variant>
      <vt:variant>
        <vt:lpwstr/>
      </vt:variant>
      <vt:variant>
        <vt:lpwstr>_Toc113964985</vt:lpwstr>
      </vt:variant>
      <vt:variant>
        <vt:i4>1245245</vt:i4>
      </vt:variant>
      <vt:variant>
        <vt:i4>284</vt:i4>
      </vt:variant>
      <vt:variant>
        <vt:i4>0</vt:i4>
      </vt:variant>
      <vt:variant>
        <vt:i4>5</vt:i4>
      </vt:variant>
      <vt:variant>
        <vt:lpwstr/>
      </vt:variant>
      <vt:variant>
        <vt:lpwstr>_Toc113964984</vt:lpwstr>
      </vt:variant>
      <vt:variant>
        <vt:i4>1245245</vt:i4>
      </vt:variant>
      <vt:variant>
        <vt:i4>278</vt:i4>
      </vt:variant>
      <vt:variant>
        <vt:i4>0</vt:i4>
      </vt:variant>
      <vt:variant>
        <vt:i4>5</vt:i4>
      </vt:variant>
      <vt:variant>
        <vt:lpwstr/>
      </vt:variant>
      <vt:variant>
        <vt:lpwstr>_Toc113964983</vt:lpwstr>
      </vt:variant>
      <vt:variant>
        <vt:i4>1245245</vt:i4>
      </vt:variant>
      <vt:variant>
        <vt:i4>272</vt:i4>
      </vt:variant>
      <vt:variant>
        <vt:i4>0</vt:i4>
      </vt:variant>
      <vt:variant>
        <vt:i4>5</vt:i4>
      </vt:variant>
      <vt:variant>
        <vt:lpwstr/>
      </vt:variant>
      <vt:variant>
        <vt:lpwstr>_Toc113964982</vt:lpwstr>
      </vt:variant>
      <vt:variant>
        <vt:i4>1245245</vt:i4>
      </vt:variant>
      <vt:variant>
        <vt:i4>266</vt:i4>
      </vt:variant>
      <vt:variant>
        <vt:i4>0</vt:i4>
      </vt:variant>
      <vt:variant>
        <vt:i4>5</vt:i4>
      </vt:variant>
      <vt:variant>
        <vt:lpwstr/>
      </vt:variant>
      <vt:variant>
        <vt:lpwstr>_Toc113964981</vt:lpwstr>
      </vt:variant>
      <vt:variant>
        <vt:i4>1245245</vt:i4>
      </vt:variant>
      <vt:variant>
        <vt:i4>260</vt:i4>
      </vt:variant>
      <vt:variant>
        <vt:i4>0</vt:i4>
      </vt:variant>
      <vt:variant>
        <vt:i4>5</vt:i4>
      </vt:variant>
      <vt:variant>
        <vt:lpwstr/>
      </vt:variant>
      <vt:variant>
        <vt:lpwstr>_Toc113964980</vt:lpwstr>
      </vt:variant>
      <vt:variant>
        <vt:i4>1835069</vt:i4>
      </vt:variant>
      <vt:variant>
        <vt:i4>254</vt:i4>
      </vt:variant>
      <vt:variant>
        <vt:i4>0</vt:i4>
      </vt:variant>
      <vt:variant>
        <vt:i4>5</vt:i4>
      </vt:variant>
      <vt:variant>
        <vt:lpwstr/>
      </vt:variant>
      <vt:variant>
        <vt:lpwstr>_Toc113964979</vt:lpwstr>
      </vt:variant>
      <vt:variant>
        <vt:i4>1835069</vt:i4>
      </vt:variant>
      <vt:variant>
        <vt:i4>248</vt:i4>
      </vt:variant>
      <vt:variant>
        <vt:i4>0</vt:i4>
      </vt:variant>
      <vt:variant>
        <vt:i4>5</vt:i4>
      </vt:variant>
      <vt:variant>
        <vt:lpwstr/>
      </vt:variant>
      <vt:variant>
        <vt:lpwstr>_Toc113964978</vt:lpwstr>
      </vt:variant>
      <vt:variant>
        <vt:i4>1835069</vt:i4>
      </vt:variant>
      <vt:variant>
        <vt:i4>242</vt:i4>
      </vt:variant>
      <vt:variant>
        <vt:i4>0</vt:i4>
      </vt:variant>
      <vt:variant>
        <vt:i4>5</vt:i4>
      </vt:variant>
      <vt:variant>
        <vt:lpwstr/>
      </vt:variant>
      <vt:variant>
        <vt:lpwstr>_Toc113964977</vt:lpwstr>
      </vt:variant>
      <vt:variant>
        <vt:i4>1835069</vt:i4>
      </vt:variant>
      <vt:variant>
        <vt:i4>236</vt:i4>
      </vt:variant>
      <vt:variant>
        <vt:i4>0</vt:i4>
      </vt:variant>
      <vt:variant>
        <vt:i4>5</vt:i4>
      </vt:variant>
      <vt:variant>
        <vt:lpwstr/>
      </vt:variant>
      <vt:variant>
        <vt:lpwstr>_Toc113964976</vt:lpwstr>
      </vt:variant>
      <vt:variant>
        <vt:i4>1835069</vt:i4>
      </vt:variant>
      <vt:variant>
        <vt:i4>230</vt:i4>
      </vt:variant>
      <vt:variant>
        <vt:i4>0</vt:i4>
      </vt:variant>
      <vt:variant>
        <vt:i4>5</vt:i4>
      </vt:variant>
      <vt:variant>
        <vt:lpwstr/>
      </vt:variant>
      <vt:variant>
        <vt:lpwstr>_Toc113964975</vt:lpwstr>
      </vt:variant>
      <vt:variant>
        <vt:i4>1835069</vt:i4>
      </vt:variant>
      <vt:variant>
        <vt:i4>224</vt:i4>
      </vt:variant>
      <vt:variant>
        <vt:i4>0</vt:i4>
      </vt:variant>
      <vt:variant>
        <vt:i4>5</vt:i4>
      </vt:variant>
      <vt:variant>
        <vt:lpwstr/>
      </vt:variant>
      <vt:variant>
        <vt:lpwstr>_Toc113964974</vt:lpwstr>
      </vt:variant>
      <vt:variant>
        <vt:i4>1835069</vt:i4>
      </vt:variant>
      <vt:variant>
        <vt:i4>218</vt:i4>
      </vt:variant>
      <vt:variant>
        <vt:i4>0</vt:i4>
      </vt:variant>
      <vt:variant>
        <vt:i4>5</vt:i4>
      </vt:variant>
      <vt:variant>
        <vt:lpwstr/>
      </vt:variant>
      <vt:variant>
        <vt:lpwstr>_Toc113964973</vt:lpwstr>
      </vt:variant>
      <vt:variant>
        <vt:i4>1835069</vt:i4>
      </vt:variant>
      <vt:variant>
        <vt:i4>212</vt:i4>
      </vt:variant>
      <vt:variant>
        <vt:i4>0</vt:i4>
      </vt:variant>
      <vt:variant>
        <vt:i4>5</vt:i4>
      </vt:variant>
      <vt:variant>
        <vt:lpwstr/>
      </vt:variant>
      <vt:variant>
        <vt:lpwstr>_Toc113964972</vt:lpwstr>
      </vt:variant>
      <vt:variant>
        <vt:i4>1835069</vt:i4>
      </vt:variant>
      <vt:variant>
        <vt:i4>206</vt:i4>
      </vt:variant>
      <vt:variant>
        <vt:i4>0</vt:i4>
      </vt:variant>
      <vt:variant>
        <vt:i4>5</vt:i4>
      </vt:variant>
      <vt:variant>
        <vt:lpwstr/>
      </vt:variant>
      <vt:variant>
        <vt:lpwstr>_Toc113964971</vt:lpwstr>
      </vt:variant>
      <vt:variant>
        <vt:i4>1835069</vt:i4>
      </vt:variant>
      <vt:variant>
        <vt:i4>200</vt:i4>
      </vt:variant>
      <vt:variant>
        <vt:i4>0</vt:i4>
      </vt:variant>
      <vt:variant>
        <vt:i4>5</vt:i4>
      </vt:variant>
      <vt:variant>
        <vt:lpwstr/>
      </vt:variant>
      <vt:variant>
        <vt:lpwstr>_Toc113964970</vt:lpwstr>
      </vt:variant>
      <vt:variant>
        <vt:i4>1900605</vt:i4>
      </vt:variant>
      <vt:variant>
        <vt:i4>194</vt:i4>
      </vt:variant>
      <vt:variant>
        <vt:i4>0</vt:i4>
      </vt:variant>
      <vt:variant>
        <vt:i4>5</vt:i4>
      </vt:variant>
      <vt:variant>
        <vt:lpwstr/>
      </vt:variant>
      <vt:variant>
        <vt:lpwstr>_Toc113964969</vt:lpwstr>
      </vt:variant>
      <vt:variant>
        <vt:i4>1900605</vt:i4>
      </vt:variant>
      <vt:variant>
        <vt:i4>188</vt:i4>
      </vt:variant>
      <vt:variant>
        <vt:i4>0</vt:i4>
      </vt:variant>
      <vt:variant>
        <vt:i4>5</vt:i4>
      </vt:variant>
      <vt:variant>
        <vt:lpwstr/>
      </vt:variant>
      <vt:variant>
        <vt:lpwstr>_Toc113964968</vt:lpwstr>
      </vt:variant>
      <vt:variant>
        <vt:i4>1900605</vt:i4>
      </vt:variant>
      <vt:variant>
        <vt:i4>182</vt:i4>
      </vt:variant>
      <vt:variant>
        <vt:i4>0</vt:i4>
      </vt:variant>
      <vt:variant>
        <vt:i4>5</vt:i4>
      </vt:variant>
      <vt:variant>
        <vt:lpwstr/>
      </vt:variant>
      <vt:variant>
        <vt:lpwstr>_Toc113964967</vt:lpwstr>
      </vt:variant>
      <vt:variant>
        <vt:i4>1900605</vt:i4>
      </vt:variant>
      <vt:variant>
        <vt:i4>176</vt:i4>
      </vt:variant>
      <vt:variant>
        <vt:i4>0</vt:i4>
      </vt:variant>
      <vt:variant>
        <vt:i4>5</vt:i4>
      </vt:variant>
      <vt:variant>
        <vt:lpwstr/>
      </vt:variant>
      <vt:variant>
        <vt:lpwstr>_Toc113964966</vt:lpwstr>
      </vt:variant>
      <vt:variant>
        <vt:i4>1900605</vt:i4>
      </vt:variant>
      <vt:variant>
        <vt:i4>170</vt:i4>
      </vt:variant>
      <vt:variant>
        <vt:i4>0</vt:i4>
      </vt:variant>
      <vt:variant>
        <vt:i4>5</vt:i4>
      </vt:variant>
      <vt:variant>
        <vt:lpwstr/>
      </vt:variant>
      <vt:variant>
        <vt:lpwstr>_Toc113964965</vt:lpwstr>
      </vt:variant>
      <vt:variant>
        <vt:i4>1900605</vt:i4>
      </vt:variant>
      <vt:variant>
        <vt:i4>164</vt:i4>
      </vt:variant>
      <vt:variant>
        <vt:i4>0</vt:i4>
      </vt:variant>
      <vt:variant>
        <vt:i4>5</vt:i4>
      </vt:variant>
      <vt:variant>
        <vt:lpwstr/>
      </vt:variant>
      <vt:variant>
        <vt:lpwstr>_Toc113964964</vt:lpwstr>
      </vt:variant>
      <vt:variant>
        <vt:i4>1900605</vt:i4>
      </vt:variant>
      <vt:variant>
        <vt:i4>158</vt:i4>
      </vt:variant>
      <vt:variant>
        <vt:i4>0</vt:i4>
      </vt:variant>
      <vt:variant>
        <vt:i4>5</vt:i4>
      </vt:variant>
      <vt:variant>
        <vt:lpwstr/>
      </vt:variant>
      <vt:variant>
        <vt:lpwstr>_Toc113964963</vt:lpwstr>
      </vt:variant>
      <vt:variant>
        <vt:i4>1900605</vt:i4>
      </vt:variant>
      <vt:variant>
        <vt:i4>152</vt:i4>
      </vt:variant>
      <vt:variant>
        <vt:i4>0</vt:i4>
      </vt:variant>
      <vt:variant>
        <vt:i4>5</vt:i4>
      </vt:variant>
      <vt:variant>
        <vt:lpwstr/>
      </vt:variant>
      <vt:variant>
        <vt:lpwstr>_Toc113964962</vt:lpwstr>
      </vt:variant>
      <vt:variant>
        <vt:i4>1900605</vt:i4>
      </vt:variant>
      <vt:variant>
        <vt:i4>146</vt:i4>
      </vt:variant>
      <vt:variant>
        <vt:i4>0</vt:i4>
      </vt:variant>
      <vt:variant>
        <vt:i4>5</vt:i4>
      </vt:variant>
      <vt:variant>
        <vt:lpwstr/>
      </vt:variant>
      <vt:variant>
        <vt:lpwstr>_Toc113964961</vt:lpwstr>
      </vt:variant>
      <vt:variant>
        <vt:i4>1900605</vt:i4>
      </vt:variant>
      <vt:variant>
        <vt:i4>140</vt:i4>
      </vt:variant>
      <vt:variant>
        <vt:i4>0</vt:i4>
      </vt:variant>
      <vt:variant>
        <vt:i4>5</vt:i4>
      </vt:variant>
      <vt:variant>
        <vt:lpwstr/>
      </vt:variant>
      <vt:variant>
        <vt:lpwstr>_Toc113964960</vt:lpwstr>
      </vt:variant>
      <vt:variant>
        <vt:i4>1966141</vt:i4>
      </vt:variant>
      <vt:variant>
        <vt:i4>134</vt:i4>
      </vt:variant>
      <vt:variant>
        <vt:i4>0</vt:i4>
      </vt:variant>
      <vt:variant>
        <vt:i4>5</vt:i4>
      </vt:variant>
      <vt:variant>
        <vt:lpwstr/>
      </vt:variant>
      <vt:variant>
        <vt:lpwstr>_Toc113964959</vt:lpwstr>
      </vt:variant>
      <vt:variant>
        <vt:i4>1966141</vt:i4>
      </vt:variant>
      <vt:variant>
        <vt:i4>128</vt:i4>
      </vt:variant>
      <vt:variant>
        <vt:i4>0</vt:i4>
      </vt:variant>
      <vt:variant>
        <vt:i4>5</vt:i4>
      </vt:variant>
      <vt:variant>
        <vt:lpwstr/>
      </vt:variant>
      <vt:variant>
        <vt:lpwstr>_Toc113964958</vt:lpwstr>
      </vt:variant>
      <vt:variant>
        <vt:i4>1966141</vt:i4>
      </vt:variant>
      <vt:variant>
        <vt:i4>122</vt:i4>
      </vt:variant>
      <vt:variant>
        <vt:i4>0</vt:i4>
      </vt:variant>
      <vt:variant>
        <vt:i4>5</vt:i4>
      </vt:variant>
      <vt:variant>
        <vt:lpwstr/>
      </vt:variant>
      <vt:variant>
        <vt:lpwstr>_Toc113964957</vt:lpwstr>
      </vt:variant>
      <vt:variant>
        <vt:i4>1966141</vt:i4>
      </vt:variant>
      <vt:variant>
        <vt:i4>116</vt:i4>
      </vt:variant>
      <vt:variant>
        <vt:i4>0</vt:i4>
      </vt:variant>
      <vt:variant>
        <vt:i4>5</vt:i4>
      </vt:variant>
      <vt:variant>
        <vt:lpwstr/>
      </vt:variant>
      <vt:variant>
        <vt:lpwstr>_Toc113964956</vt:lpwstr>
      </vt:variant>
      <vt:variant>
        <vt:i4>1966141</vt:i4>
      </vt:variant>
      <vt:variant>
        <vt:i4>110</vt:i4>
      </vt:variant>
      <vt:variant>
        <vt:i4>0</vt:i4>
      </vt:variant>
      <vt:variant>
        <vt:i4>5</vt:i4>
      </vt:variant>
      <vt:variant>
        <vt:lpwstr/>
      </vt:variant>
      <vt:variant>
        <vt:lpwstr>_Toc113964955</vt:lpwstr>
      </vt:variant>
      <vt:variant>
        <vt:i4>1966141</vt:i4>
      </vt:variant>
      <vt:variant>
        <vt:i4>104</vt:i4>
      </vt:variant>
      <vt:variant>
        <vt:i4>0</vt:i4>
      </vt:variant>
      <vt:variant>
        <vt:i4>5</vt:i4>
      </vt:variant>
      <vt:variant>
        <vt:lpwstr/>
      </vt:variant>
      <vt:variant>
        <vt:lpwstr>_Toc113964954</vt:lpwstr>
      </vt:variant>
      <vt:variant>
        <vt:i4>1966141</vt:i4>
      </vt:variant>
      <vt:variant>
        <vt:i4>98</vt:i4>
      </vt:variant>
      <vt:variant>
        <vt:i4>0</vt:i4>
      </vt:variant>
      <vt:variant>
        <vt:i4>5</vt:i4>
      </vt:variant>
      <vt:variant>
        <vt:lpwstr/>
      </vt:variant>
      <vt:variant>
        <vt:lpwstr>_Toc113964953</vt:lpwstr>
      </vt:variant>
      <vt:variant>
        <vt:i4>1966141</vt:i4>
      </vt:variant>
      <vt:variant>
        <vt:i4>92</vt:i4>
      </vt:variant>
      <vt:variant>
        <vt:i4>0</vt:i4>
      </vt:variant>
      <vt:variant>
        <vt:i4>5</vt:i4>
      </vt:variant>
      <vt:variant>
        <vt:lpwstr/>
      </vt:variant>
      <vt:variant>
        <vt:lpwstr>_Toc113964952</vt:lpwstr>
      </vt:variant>
      <vt:variant>
        <vt:i4>1966141</vt:i4>
      </vt:variant>
      <vt:variant>
        <vt:i4>86</vt:i4>
      </vt:variant>
      <vt:variant>
        <vt:i4>0</vt:i4>
      </vt:variant>
      <vt:variant>
        <vt:i4>5</vt:i4>
      </vt:variant>
      <vt:variant>
        <vt:lpwstr/>
      </vt:variant>
      <vt:variant>
        <vt:lpwstr>_Toc113964951</vt:lpwstr>
      </vt:variant>
      <vt:variant>
        <vt:i4>1966141</vt:i4>
      </vt:variant>
      <vt:variant>
        <vt:i4>80</vt:i4>
      </vt:variant>
      <vt:variant>
        <vt:i4>0</vt:i4>
      </vt:variant>
      <vt:variant>
        <vt:i4>5</vt:i4>
      </vt:variant>
      <vt:variant>
        <vt:lpwstr/>
      </vt:variant>
      <vt:variant>
        <vt:lpwstr>_Toc113964950</vt:lpwstr>
      </vt:variant>
      <vt:variant>
        <vt:i4>2031677</vt:i4>
      </vt:variant>
      <vt:variant>
        <vt:i4>74</vt:i4>
      </vt:variant>
      <vt:variant>
        <vt:i4>0</vt:i4>
      </vt:variant>
      <vt:variant>
        <vt:i4>5</vt:i4>
      </vt:variant>
      <vt:variant>
        <vt:lpwstr/>
      </vt:variant>
      <vt:variant>
        <vt:lpwstr>_Toc113964949</vt:lpwstr>
      </vt:variant>
      <vt:variant>
        <vt:i4>2031677</vt:i4>
      </vt:variant>
      <vt:variant>
        <vt:i4>68</vt:i4>
      </vt:variant>
      <vt:variant>
        <vt:i4>0</vt:i4>
      </vt:variant>
      <vt:variant>
        <vt:i4>5</vt:i4>
      </vt:variant>
      <vt:variant>
        <vt:lpwstr/>
      </vt:variant>
      <vt:variant>
        <vt:lpwstr>_Toc113964948</vt:lpwstr>
      </vt:variant>
      <vt:variant>
        <vt:i4>2031677</vt:i4>
      </vt:variant>
      <vt:variant>
        <vt:i4>62</vt:i4>
      </vt:variant>
      <vt:variant>
        <vt:i4>0</vt:i4>
      </vt:variant>
      <vt:variant>
        <vt:i4>5</vt:i4>
      </vt:variant>
      <vt:variant>
        <vt:lpwstr/>
      </vt:variant>
      <vt:variant>
        <vt:lpwstr>_Toc113964947</vt:lpwstr>
      </vt:variant>
      <vt:variant>
        <vt:i4>2031677</vt:i4>
      </vt:variant>
      <vt:variant>
        <vt:i4>56</vt:i4>
      </vt:variant>
      <vt:variant>
        <vt:i4>0</vt:i4>
      </vt:variant>
      <vt:variant>
        <vt:i4>5</vt:i4>
      </vt:variant>
      <vt:variant>
        <vt:lpwstr/>
      </vt:variant>
      <vt:variant>
        <vt:lpwstr>_Toc113964946</vt:lpwstr>
      </vt:variant>
      <vt:variant>
        <vt:i4>2031677</vt:i4>
      </vt:variant>
      <vt:variant>
        <vt:i4>50</vt:i4>
      </vt:variant>
      <vt:variant>
        <vt:i4>0</vt:i4>
      </vt:variant>
      <vt:variant>
        <vt:i4>5</vt:i4>
      </vt:variant>
      <vt:variant>
        <vt:lpwstr/>
      </vt:variant>
      <vt:variant>
        <vt:lpwstr>_Toc113964945</vt:lpwstr>
      </vt:variant>
      <vt:variant>
        <vt:i4>2031677</vt:i4>
      </vt:variant>
      <vt:variant>
        <vt:i4>44</vt:i4>
      </vt:variant>
      <vt:variant>
        <vt:i4>0</vt:i4>
      </vt:variant>
      <vt:variant>
        <vt:i4>5</vt:i4>
      </vt:variant>
      <vt:variant>
        <vt:lpwstr/>
      </vt:variant>
      <vt:variant>
        <vt:lpwstr>_Toc113964944</vt:lpwstr>
      </vt:variant>
      <vt:variant>
        <vt:i4>2031677</vt:i4>
      </vt:variant>
      <vt:variant>
        <vt:i4>38</vt:i4>
      </vt:variant>
      <vt:variant>
        <vt:i4>0</vt:i4>
      </vt:variant>
      <vt:variant>
        <vt:i4>5</vt:i4>
      </vt:variant>
      <vt:variant>
        <vt:lpwstr/>
      </vt:variant>
      <vt:variant>
        <vt:lpwstr>_Toc113964943</vt:lpwstr>
      </vt:variant>
      <vt:variant>
        <vt:i4>2031677</vt:i4>
      </vt:variant>
      <vt:variant>
        <vt:i4>32</vt:i4>
      </vt:variant>
      <vt:variant>
        <vt:i4>0</vt:i4>
      </vt:variant>
      <vt:variant>
        <vt:i4>5</vt:i4>
      </vt:variant>
      <vt:variant>
        <vt:lpwstr/>
      </vt:variant>
      <vt:variant>
        <vt:lpwstr>_Toc113964942</vt:lpwstr>
      </vt:variant>
      <vt:variant>
        <vt:i4>2031677</vt:i4>
      </vt:variant>
      <vt:variant>
        <vt:i4>26</vt:i4>
      </vt:variant>
      <vt:variant>
        <vt:i4>0</vt:i4>
      </vt:variant>
      <vt:variant>
        <vt:i4>5</vt:i4>
      </vt:variant>
      <vt:variant>
        <vt:lpwstr/>
      </vt:variant>
      <vt:variant>
        <vt:lpwstr>_Toc113964941</vt:lpwstr>
      </vt:variant>
      <vt:variant>
        <vt:i4>2031677</vt:i4>
      </vt:variant>
      <vt:variant>
        <vt:i4>20</vt:i4>
      </vt:variant>
      <vt:variant>
        <vt:i4>0</vt:i4>
      </vt:variant>
      <vt:variant>
        <vt:i4>5</vt:i4>
      </vt:variant>
      <vt:variant>
        <vt:lpwstr/>
      </vt:variant>
      <vt:variant>
        <vt:lpwstr>_Toc113964940</vt:lpwstr>
      </vt:variant>
      <vt:variant>
        <vt:i4>1572925</vt:i4>
      </vt:variant>
      <vt:variant>
        <vt:i4>14</vt:i4>
      </vt:variant>
      <vt:variant>
        <vt:i4>0</vt:i4>
      </vt:variant>
      <vt:variant>
        <vt:i4>5</vt:i4>
      </vt:variant>
      <vt:variant>
        <vt:lpwstr/>
      </vt:variant>
      <vt:variant>
        <vt:lpwstr>_Toc113964939</vt:lpwstr>
      </vt:variant>
      <vt:variant>
        <vt:i4>1572925</vt:i4>
      </vt:variant>
      <vt:variant>
        <vt:i4>8</vt:i4>
      </vt:variant>
      <vt:variant>
        <vt:i4>0</vt:i4>
      </vt:variant>
      <vt:variant>
        <vt:i4>5</vt:i4>
      </vt:variant>
      <vt:variant>
        <vt:lpwstr/>
      </vt:variant>
      <vt:variant>
        <vt:lpwstr>_Toc113964938</vt:lpwstr>
      </vt:variant>
      <vt:variant>
        <vt:i4>1572925</vt:i4>
      </vt:variant>
      <vt:variant>
        <vt:i4>2</vt:i4>
      </vt:variant>
      <vt:variant>
        <vt:i4>0</vt:i4>
      </vt:variant>
      <vt:variant>
        <vt:i4>5</vt:i4>
      </vt:variant>
      <vt:variant>
        <vt:lpwstr/>
      </vt:variant>
      <vt:variant>
        <vt:lpwstr>_Toc113964937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coussaud</dc:creator>
  <cp:keywords/>
  <dc:description/>
  <cp:lastModifiedBy>Pascal Coussaud</cp:lastModifiedBy>
  <cp:revision>3</cp:revision>
  <dcterms:created xsi:type="dcterms:W3CDTF">2021-09-09T13:43:00Z</dcterms:created>
  <dcterms:modified xsi:type="dcterms:W3CDTF">2021-09-09T13:48:00Z</dcterms:modified>
</cp:coreProperties>
</file>