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87F119" w14:textId="63E49C2F" w:rsidR="00F67BFB" w:rsidRDefault="00F67BFB" w:rsidP="00F67BFB">
      <w:pPr>
        <w:jc w:val="center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Master </w:t>
      </w:r>
      <w:r w:rsidR="00BE14B4">
        <w:rPr>
          <w:rFonts w:ascii="Corbel" w:hAnsi="Corbel" w:cs="Times New Roman"/>
          <w:sz w:val="22"/>
          <w:szCs w:val="22"/>
        </w:rPr>
        <w:t xml:space="preserve">II EAE- Année universitaire </w:t>
      </w:r>
      <w:r w:rsidR="009B251C">
        <w:rPr>
          <w:rFonts w:ascii="Corbel" w:hAnsi="Corbel" w:cs="Times New Roman"/>
          <w:sz w:val="22"/>
          <w:szCs w:val="22"/>
        </w:rPr>
        <w:t>2019</w:t>
      </w:r>
      <w:r w:rsidR="00BE14B4">
        <w:rPr>
          <w:rFonts w:ascii="Corbel" w:hAnsi="Corbel" w:cs="Times New Roman"/>
          <w:sz w:val="22"/>
          <w:szCs w:val="22"/>
        </w:rPr>
        <w:t>-2020</w:t>
      </w:r>
    </w:p>
    <w:p w14:paraId="31390015" w14:textId="77777777" w:rsidR="00620878" w:rsidRPr="00F67BFB" w:rsidRDefault="00620878" w:rsidP="00F67BFB">
      <w:pPr>
        <w:jc w:val="center"/>
        <w:rPr>
          <w:rFonts w:ascii="Corbel" w:hAnsi="Corbel" w:cs="Times New Roman"/>
          <w:sz w:val="22"/>
          <w:szCs w:val="22"/>
        </w:rPr>
      </w:pPr>
    </w:p>
    <w:p w14:paraId="72C501B7" w14:textId="77777777" w:rsidR="00F67BFB" w:rsidRPr="00F67BFB" w:rsidRDefault="00F67BFB" w:rsidP="00F67BFB">
      <w:pPr>
        <w:jc w:val="center"/>
        <w:rPr>
          <w:rFonts w:ascii="Corbel" w:hAnsi="Corbel" w:cs="Times New Roman"/>
          <w:sz w:val="22"/>
          <w:szCs w:val="22"/>
        </w:rPr>
      </w:pPr>
    </w:p>
    <w:p w14:paraId="0ADFAC64" w14:textId="19EE817B" w:rsidR="00F67BFB" w:rsidRPr="00DB21E3" w:rsidRDefault="00DB21E3" w:rsidP="00DB21E3">
      <w:pPr>
        <w:jc w:val="center"/>
        <w:rPr>
          <w:rFonts w:ascii="Corbel" w:hAnsi="Corbel" w:cs="Times New Roman"/>
          <w:b/>
          <w:sz w:val="32"/>
          <w:szCs w:val="22"/>
        </w:rPr>
      </w:pPr>
      <w:r w:rsidRPr="00DB21E3">
        <w:rPr>
          <w:rFonts w:ascii="Corbel" w:hAnsi="Corbel" w:cs="Times New Roman"/>
          <w:b/>
          <w:sz w:val="32"/>
          <w:szCs w:val="22"/>
        </w:rPr>
        <w:t>LE BUDGET DE L’UNION EUROPEENNE</w:t>
      </w:r>
    </w:p>
    <w:p w14:paraId="41E522D0" w14:textId="77777777" w:rsidR="00F67BFB" w:rsidRPr="00F67BFB" w:rsidRDefault="00F67BFB" w:rsidP="00F67BFB">
      <w:pPr>
        <w:jc w:val="center"/>
        <w:rPr>
          <w:rFonts w:ascii="Corbel" w:hAnsi="Corbel" w:cs="Times New Roman"/>
          <w:sz w:val="22"/>
          <w:szCs w:val="22"/>
        </w:rPr>
      </w:pPr>
    </w:p>
    <w:p w14:paraId="0E755F08" w14:textId="77777777" w:rsidR="00620878" w:rsidRDefault="00620878" w:rsidP="00F67BFB">
      <w:pPr>
        <w:jc w:val="center"/>
        <w:rPr>
          <w:rFonts w:ascii="Corbel" w:hAnsi="Corbel" w:cs="Times New Roman"/>
          <w:sz w:val="22"/>
          <w:szCs w:val="22"/>
        </w:rPr>
      </w:pPr>
    </w:p>
    <w:p w14:paraId="47CB64BC" w14:textId="77777777" w:rsidR="00F67BFB" w:rsidRPr="00F67BFB" w:rsidRDefault="00F67BFB" w:rsidP="00F67BFB">
      <w:pPr>
        <w:jc w:val="center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Anne-Marie Tournepiche</w:t>
      </w:r>
    </w:p>
    <w:p w14:paraId="60E46E4A" w14:textId="77777777" w:rsidR="00F67BFB" w:rsidRDefault="00F67BFB" w:rsidP="00F67BFB">
      <w:pPr>
        <w:jc w:val="center"/>
        <w:rPr>
          <w:rFonts w:ascii="Corbel" w:hAnsi="Corbel" w:cs="Times New Roman"/>
          <w:i/>
          <w:sz w:val="22"/>
          <w:szCs w:val="22"/>
        </w:rPr>
      </w:pPr>
    </w:p>
    <w:p w14:paraId="3667FF99" w14:textId="77777777" w:rsidR="00F67BFB" w:rsidRPr="00F67BFB" w:rsidRDefault="00F67BFB" w:rsidP="00F67BFB">
      <w:pPr>
        <w:jc w:val="center"/>
        <w:rPr>
          <w:rFonts w:ascii="Corbel" w:hAnsi="Corbel" w:cs="Times New Roman"/>
          <w:i/>
          <w:sz w:val="20"/>
          <w:szCs w:val="22"/>
        </w:rPr>
      </w:pPr>
      <w:r w:rsidRPr="00F67BFB">
        <w:rPr>
          <w:rFonts w:ascii="Corbel" w:hAnsi="Corbel" w:cs="Times New Roman"/>
          <w:i/>
          <w:sz w:val="20"/>
          <w:szCs w:val="22"/>
        </w:rPr>
        <w:t>Professeur de Droit public</w:t>
      </w:r>
    </w:p>
    <w:p w14:paraId="4EC56DF1" w14:textId="77777777" w:rsidR="00F67BFB" w:rsidRPr="00F67BFB" w:rsidRDefault="00F67BFB" w:rsidP="00F67BFB">
      <w:pPr>
        <w:jc w:val="center"/>
        <w:rPr>
          <w:rFonts w:ascii="Corbel" w:hAnsi="Corbel" w:cs="Times New Roman"/>
          <w:i/>
          <w:sz w:val="20"/>
          <w:szCs w:val="22"/>
        </w:rPr>
      </w:pPr>
      <w:r w:rsidRPr="00F67BFB">
        <w:rPr>
          <w:rFonts w:ascii="Corbel" w:hAnsi="Corbel" w:cs="Times New Roman"/>
          <w:i/>
          <w:sz w:val="20"/>
          <w:szCs w:val="22"/>
        </w:rPr>
        <w:t>Université de Bordeaux</w:t>
      </w:r>
    </w:p>
    <w:p w14:paraId="07179CD5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2FE84888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7D33693C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8592F37" w14:textId="77777777" w:rsidR="00F67BFB" w:rsidRPr="00620878" w:rsidRDefault="00F67BFB" w:rsidP="00F67BFB">
      <w:pPr>
        <w:jc w:val="center"/>
        <w:rPr>
          <w:rFonts w:ascii="Corbel" w:hAnsi="Corbel" w:cs="Times New Roman"/>
          <w:b/>
          <w:i/>
          <w:szCs w:val="22"/>
        </w:rPr>
      </w:pPr>
      <w:r w:rsidRPr="00620878">
        <w:rPr>
          <w:rFonts w:ascii="Corbel" w:hAnsi="Corbel" w:cs="Times New Roman"/>
          <w:b/>
          <w:i/>
          <w:szCs w:val="22"/>
        </w:rPr>
        <w:t>Plan</w:t>
      </w:r>
    </w:p>
    <w:p w14:paraId="507513BE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6266CF6E" w14:textId="77777777" w:rsidR="00620878" w:rsidRDefault="00620878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1D30A341" w14:textId="77777777" w:rsidR="00620878" w:rsidRPr="00F67BFB" w:rsidRDefault="00620878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6DF3A47D" w14:textId="09E274C2" w:rsidR="00F67BFB" w:rsidRPr="00DB21E3" w:rsidRDefault="00F67BFB" w:rsidP="00DB21E3">
      <w:pPr>
        <w:pStyle w:val="Pardelis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orbel" w:hAnsi="Corbel" w:cs="Times New Roman"/>
          <w:b/>
          <w:sz w:val="22"/>
          <w:szCs w:val="22"/>
        </w:rPr>
      </w:pPr>
      <w:r w:rsidRPr="00DB21E3">
        <w:rPr>
          <w:rFonts w:ascii="Corbel" w:hAnsi="Corbel" w:cs="Times New Roman"/>
          <w:b/>
          <w:sz w:val="22"/>
          <w:szCs w:val="22"/>
        </w:rPr>
        <w:t>Les fondements du droit budgétaire de l’Union européenne</w:t>
      </w:r>
    </w:p>
    <w:p w14:paraId="36FA523C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C31A755" w14:textId="77777777" w:rsidR="00F67BFB" w:rsidRPr="00620878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§1 : </w:t>
      </w:r>
      <w:r w:rsidRPr="00F67BFB">
        <w:rPr>
          <w:rFonts w:ascii="Corbel" w:hAnsi="Corbel" w:cs="Times New Roman"/>
          <w:i/>
          <w:sz w:val="22"/>
          <w:szCs w:val="22"/>
        </w:rPr>
        <w:t>Les sources</w:t>
      </w:r>
    </w:p>
    <w:p w14:paraId="57ED320F" w14:textId="77777777" w:rsidR="00F67BFB" w:rsidRPr="00F67BFB" w:rsidRDefault="00620878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</w:r>
      <w:r w:rsidR="00F67BFB">
        <w:rPr>
          <w:rFonts w:ascii="Corbel" w:hAnsi="Corbel" w:cs="Times New Roman"/>
          <w:sz w:val="22"/>
          <w:szCs w:val="22"/>
        </w:rPr>
        <w:t xml:space="preserve">A/ </w:t>
      </w:r>
      <w:r w:rsidR="00F67BFB" w:rsidRPr="00F67BFB">
        <w:rPr>
          <w:rFonts w:ascii="Corbel" w:hAnsi="Corbel" w:cs="Times New Roman"/>
          <w:sz w:val="22"/>
          <w:szCs w:val="22"/>
        </w:rPr>
        <w:t>Les sources conventionnelles</w:t>
      </w:r>
    </w:p>
    <w:p w14:paraId="41A63C8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  <w:t xml:space="preserve">B/ </w:t>
      </w:r>
      <w:r w:rsidRPr="00F67BFB">
        <w:rPr>
          <w:rFonts w:ascii="Corbel" w:hAnsi="Corbel" w:cs="Times New Roman"/>
          <w:sz w:val="22"/>
          <w:szCs w:val="22"/>
        </w:rPr>
        <w:t>Les sources dérivées</w:t>
      </w:r>
    </w:p>
    <w:p w14:paraId="216D8B32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0281C9D2" w14:textId="77777777" w:rsidR="00F67BFB" w:rsidRPr="00F67BFB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§2 : </w:t>
      </w:r>
      <w:r w:rsidRPr="00F67BFB">
        <w:rPr>
          <w:rFonts w:ascii="Corbel" w:hAnsi="Corbel" w:cs="Times New Roman"/>
          <w:i/>
          <w:sz w:val="22"/>
          <w:szCs w:val="22"/>
        </w:rPr>
        <w:t>Les principes budgétaires</w:t>
      </w:r>
    </w:p>
    <w:p w14:paraId="482829CC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47D84CE8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500B29EF" w14:textId="67673D26" w:rsidR="00F67BFB" w:rsidRPr="00DB21E3" w:rsidRDefault="00F67BFB" w:rsidP="00DB21E3">
      <w:pPr>
        <w:pStyle w:val="Pardelis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orbel" w:hAnsi="Corbel" w:cs="Times New Roman"/>
          <w:b/>
          <w:sz w:val="22"/>
          <w:szCs w:val="22"/>
        </w:rPr>
      </w:pPr>
      <w:r w:rsidRPr="00DB21E3">
        <w:rPr>
          <w:rFonts w:ascii="Corbel" w:hAnsi="Corbel" w:cs="Times New Roman"/>
          <w:b/>
          <w:sz w:val="22"/>
          <w:szCs w:val="22"/>
        </w:rPr>
        <w:t>La présentation du budget</w:t>
      </w:r>
    </w:p>
    <w:p w14:paraId="5754A4DE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6545B9D4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EF6EA69" w14:textId="77777777" w:rsidR="00620878" w:rsidRPr="00620878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§1 : </w:t>
      </w:r>
      <w:r w:rsidRPr="00F67BFB">
        <w:rPr>
          <w:rFonts w:ascii="Corbel" w:hAnsi="Corbel" w:cs="Times New Roman"/>
          <w:i/>
          <w:sz w:val="22"/>
          <w:szCs w:val="22"/>
        </w:rPr>
        <w:t>Le cadre pluriannuel</w:t>
      </w:r>
    </w:p>
    <w:p w14:paraId="218B834E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  <w:t xml:space="preserve">A/ </w:t>
      </w:r>
      <w:r w:rsidRPr="00F67BFB">
        <w:rPr>
          <w:rFonts w:ascii="Corbel" w:hAnsi="Corbel" w:cs="Times New Roman"/>
          <w:sz w:val="22"/>
          <w:szCs w:val="22"/>
        </w:rPr>
        <w:t>Les origines du cadre financier pluriannuel</w:t>
      </w:r>
    </w:p>
    <w:p w14:paraId="003913E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  <w:t xml:space="preserve">B/ </w:t>
      </w:r>
      <w:r w:rsidRPr="00F67BFB">
        <w:rPr>
          <w:rFonts w:ascii="Corbel" w:hAnsi="Corbel" w:cs="Times New Roman"/>
          <w:sz w:val="22"/>
          <w:szCs w:val="22"/>
        </w:rPr>
        <w:t>Les caractéristiques du cadre financier pluriannuel (CFP)</w:t>
      </w:r>
    </w:p>
    <w:p w14:paraId="28BDC3E9" w14:textId="77777777" w:rsidR="00F67BFB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</w:p>
    <w:p w14:paraId="13119B90" w14:textId="77777777" w:rsidR="00620878" w:rsidRPr="00F67BFB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§2 : </w:t>
      </w:r>
      <w:r w:rsidRPr="00F67BFB">
        <w:rPr>
          <w:rFonts w:ascii="Corbel" w:hAnsi="Corbel" w:cs="Times New Roman"/>
          <w:i/>
          <w:sz w:val="22"/>
          <w:szCs w:val="22"/>
        </w:rPr>
        <w:t>Le cadre annuel</w:t>
      </w:r>
    </w:p>
    <w:p w14:paraId="2589A3FA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</w:r>
      <w:r w:rsidRPr="00F67BFB">
        <w:rPr>
          <w:rFonts w:ascii="Corbel" w:hAnsi="Corbel" w:cs="Times New Roman"/>
          <w:sz w:val="22"/>
          <w:szCs w:val="22"/>
        </w:rPr>
        <w:t>A/ Les dépenses</w:t>
      </w:r>
    </w:p>
    <w:p w14:paraId="2C647E4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</w:r>
      <w:r w:rsidRPr="00F67BFB">
        <w:rPr>
          <w:rFonts w:ascii="Corbel" w:hAnsi="Corbel" w:cs="Times New Roman"/>
          <w:sz w:val="22"/>
          <w:szCs w:val="22"/>
        </w:rPr>
        <w:t>B/ Les ressources</w:t>
      </w:r>
    </w:p>
    <w:p w14:paraId="264DE03C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14A0213C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5E27C08E" w14:textId="5C97F207" w:rsidR="00F67BFB" w:rsidRPr="00DB21E3" w:rsidRDefault="00F67BFB" w:rsidP="00DB21E3">
      <w:pPr>
        <w:pStyle w:val="Pardelis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orbel" w:hAnsi="Corbel" w:cs="Times New Roman"/>
          <w:b/>
          <w:sz w:val="22"/>
          <w:szCs w:val="22"/>
        </w:rPr>
      </w:pPr>
      <w:r w:rsidRPr="00DB21E3">
        <w:rPr>
          <w:rFonts w:ascii="Corbel" w:hAnsi="Corbel" w:cs="Times New Roman"/>
          <w:b/>
          <w:sz w:val="22"/>
          <w:szCs w:val="22"/>
        </w:rPr>
        <w:t>L’adoption et l’exécution du budget annuel</w:t>
      </w:r>
    </w:p>
    <w:p w14:paraId="3612E58C" w14:textId="77777777" w:rsid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4C2CD4BA" w14:textId="77777777" w:rsidR="00DB21E3" w:rsidRPr="00F67BFB" w:rsidRDefault="00DB21E3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0DFCFD29" w14:textId="77777777" w:rsidR="00620878" w:rsidRPr="00620878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 §1 : </w:t>
      </w:r>
      <w:r w:rsidRPr="00F67BFB">
        <w:rPr>
          <w:rFonts w:ascii="Corbel" w:hAnsi="Corbel" w:cs="Times New Roman"/>
          <w:i/>
          <w:sz w:val="22"/>
          <w:szCs w:val="22"/>
        </w:rPr>
        <w:t>L’adoption du budget annuel</w:t>
      </w:r>
    </w:p>
    <w:p w14:paraId="3D88C471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>
        <w:rPr>
          <w:rFonts w:ascii="Corbel" w:hAnsi="Corbel" w:cs="Times New Roman"/>
          <w:sz w:val="22"/>
          <w:szCs w:val="22"/>
        </w:rPr>
        <w:tab/>
      </w:r>
      <w:r w:rsidRPr="00F67BFB">
        <w:rPr>
          <w:rFonts w:ascii="Corbel" w:hAnsi="Corbel" w:cs="Times New Roman"/>
          <w:sz w:val="22"/>
          <w:szCs w:val="22"/>
        </w:rPr>
        <w:t xml:space="preserve">A/ L’évolution de la répartition des compétences entre les deux branches de l’autorité </w:t>
      </w:r>
      <w:r>
        <w:rPr>
          <w:rFonts w:ascii="Corbel" w:hAnsi="Corbel" w:cs="Times New Roman"/>
          <w:sz w:val="22"/>
          <w:szCs w:val="22"/>
        </w:rPr>
        <w:tab/>
      </w:r>
      <w:r w:rsidRPr="00F67BFB">
        <w:rPr>
          <w:rFonts w:ascii="Corbel" w:hAnsi="Corbel" w:cs="Times New Roman"/>
          <w:sz w:val="22"/>
          <w:szCs w:val="22"/>
        </w:rPr>
        <w:t>budgétaire</w:t>
      </w:r>
    </w:p>
    <w:p w14:paraId="42E505E2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ab/>
        <w:t>B/ Le déroulement de la procédure budgétaire annuelle</w:t>
      </w:r>
    </w:p>
    <w:p w14:paraId="671F78F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D7112C5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5E9E463" w14:textId="77777777" w:rsidR="00F67BFB" w:rsidRPr="00620878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>
        <w:rPr>
          <w:rFonts w:ascii="Corbel" w:hAnsi="Corbel" w:cs="Times New Roman"/>
          <w:i/>
          <w:sz w:val="22"/>
          <w:szCs w:val="22"/>
        </w:rPr>
        <w:t xml:space="preserve">§ 2 : </w:t>
      </w:r>
      <w:r w:rsidRPr="00F67BFB">
        <w:rPr>
          <w:rFonts w:ascii="Corbel" w:hAnsi="Corbel" w:cs="Times New Roman"/>
          <w:i/>
          <w:sz w:val="22"/>
          <w:szCs w:val="22"/>
        </w:rPr>
        <w:t>L’exécution du budget</w:t>
      </w:r>
    </w:p>
    <w:p w14:paraId="68EB751E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ab/>
        <w:t>A/ Le contrôle de l’exécution du budget</w:t>
      </w:r>
    </w:p>
    <w:p w14:paraId="2BF8E0DB" w14:textId="77777777" w:rsidR="00620878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ab/>
        <w:t>B/ La lutte contre la fraude</w:t>
      </w:r>
    </w:p>
    <w:p w14:paraId="05D70D0D" w14:textId="77777777" w:rsidR="00620878" w:rsidRDefault="00620878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261C56E2" w14:textId="77777777" w:rsidR="00620878" w:rsidRPr="00F67BFB" w:rsidRDefault="00620878" w:rsidP="00F67BFB">
      <w:pPr>
        <w:jc w:val="both"/>
        <w:rPr>
          <w:rFonts w:ascii="Corbel" w:hAnsi="Corbel" w:cs="Times New Roman"/>
          <w:sz w:val="22"/>
          <w:szCs w:val="22"/>
        </w:rPr>
      </w:pPr>
      <w:bookmarkStart w:id="0" w:name="_GoBack"/>
      <w:bookmarkEnd w:id="0"/>
    </w:p>
    <w:p w14:paraId="283DE78E" w14:textId="77777777" w:rsidR="00F67BFB" w:rsidRPr="00DB21E3" w:rsidRDefault="00F67BFB" w:rsidP="00DB21E3">
      <w:pPr>
        <w:jc w:val="center"/>
        <w:rPr>
          <w:rFonts w:ascii="Corbel" w:hAnsi="Corbel" w:cs="Times New Roman"/>
          <w:b/>
          <w:i/>
          <w:sz w:val="22"/>
          <w:szCs w:val="22"/>
        </w:rPr>
      </w:pPr>
      <w:r w:rsidRPr="00DB21E3">
        <w:rPr>
          <w:rFonts w:ascii="Corbel" w:hAnsi="Corbel" w:cs="Times New Roman"/>
          <w:b/>
          <w:i/>
          <w:sz w:val="22"/>
          <w:szCs w:val="22"/>
        </w:rPr>
        <w:t>Bibliographie indicative</w:t>
      </w:r>
    </w:p>
    <w:p w14:paraId="69E9090D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2C0D2917" w14:textId="77777777" w:rsidR="00392099" w:rsidRDefault="00392099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</w:p>
    <w:p w14:paraId="0FEE2A61" w14:textId="77777777" w:rsidR="00620878" w:rsidRDefault="00620878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</w:p>
    <w:p w14:paraId="3EDC889B" w14:textId="77777777" w:rsidR="00F67BFB" w:rsidRPr="00392099" w:rsidRDefault="00F67BFB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  <w:r w:rsidRPr="00392099">
        <w:rPr>
          <w:rFonts w:ascii="Corbel" w:hAnsi="Corbel" w:cs="Times New Roman"/>
          <w:b/>
          <w:sz w:val="22"/>
          <w:szCs w:val="22"/>
          <w:u w:val="single"/>
        </w:rPr>
        <w:t>Ouvrages</w:t>
      </w:r>
    </w:p>
    <w:p w14:paraId="2D717315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C. Delon Desmoulin, 2011, </w:t>
      </w:r>
      <w:r w:rsidRPr="00F67BFB">
        <w:rPr>
          <w:rFonts w:ascii="Corbel" w:hAnsi="Corbel" w:cs="Times New Roman"/>
          <w:i/>
          <w:sz w:val="22"/>
          <w:szCs w:val="22"/>
        </w:rPr>
        <w:t>Droit budgétaire de l’Union européenne</w:t>
      </w:r>
      <w:r w:rsidRPr="00F67BFB">
        <w:rPr>
          <w:rFonts w:ascii="Corbel" w:hAnsi="Corbel" w:cs="Times New Roman"/>
          <w:sz w:val="22"/>
          <w:szCs w:val="22"/>
        </w:rPr>
        <w:t>, Paris, LGDJ.</w:t>
      </w:r>
    </w:p>
    <w:p w14:paraId="7458BF1F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M. Lechantre et D.Shasjer, 2004, </w:t>
      </w:r>
      <w:r w:rsidRPr="00F67BFB">
        <w:rPr>
          <w:rFonts w:ascii="Corbel" w:hAnsi="Corbel" w:cs="Times New Roman"/>
          <w:i/>
          <w:sz w:val="22"/>
          <w:szCs w:val="22"/>
        </w:rPr>
        <w:t>Le budget de l’Union européenne</w:t>
      </w:r>
      <w:r w:rsidRPr="00F67BFB">
        <w:rPr>
          <w:rFonts w:ascii="Corbel" w:hAnsi="Corbel" w:cs="Times New Roman"/>
          <w:sz w:val="22"/>
          <w:szCs w:val="22"/>
        </w:rPr>
        <w:t>, Paris, La Documentation française.</w:t>
      </w:r>
    </w:p>
    <w:p w14:paraId="0BA907F1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Y. Petit, 2012, </w:t>
      </w:r>
      <w:r w:rsidRPr="00F67BFB">
        <w:rPr>
          <w:rFonts w:ascii="Corbel" w:hAnsi="Corbel" w:cs="Times New Roman"/>
          <w:i/>
          <w:sz w:val="22"/>
          <w:szCs w:val="22"/>
        </w:rPr>
        <w:t>Les finances de l’Union européenne</w:t>
      </w:r>
      <w:r w:rsidRPr="00F67BFB">
        <w:rPr>
          <w:rFonts w:ascii="Corbel" w:hAnsi="Corbel" w:cs="Times New Roman"/>
          <w:sz w:val="22"/>
          <w:szCs w:val="22"/>
        </w:rPr>
        <w:t>, Documents d’études n° 503, La Documentation française.</w:t>
      </w:r>
    </w:p>
    <w:p w14:paraId="6EA26FCE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A. Potteau, 2004, </w:t>
      </w:r>
      <w:r w:rsidRPr="00F67BFB">
        <w:rPr>
          <w:rFonts w:ascii="Corbel" w:hAnsi="Corbel" w:cs="Times New Roman"/>
          <w:i/>
          <w:sz w:val="22"/>
          <w:szCs w:val="22"/>
        </w:rPr>
        <w:t>Recherche sur l’autonomie financière de l’Union européenne</w:t>
      </w:r>
      <w:r w:rsidRPr="00F67BFB">
        <w:rPr>
          <w:rFonts w:ascii="Corbel" w:hAnsi="Corbel" w:cs="Times New Roman"/>
          <w:sz w:val="22"/>
          <w:szCs w:val="22"/>
        </w:rPr>
        <w:t>, Nouvelle bibliothèque de thèses, Paris, Dalloz.</w:t>
      </w:r>
    </w:p>
    <w:p w14:paraId="68A82812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S. Saurel, 2010, Le budget de l’Union européenne, Reflexe Eur</w:t>
      </w:r>
      <w:r>
        <w:rPr>
          <w:rFonts w:ascii="Corbel" w:hAnsi="Corbel" w:cs="Times New Roman"/>
          <w:sz w:val="22"/>
          <w:szCs w:val="22"/>
        </w:rPr>
        <w:t>ope, La Documentation Française</w:t>
      </w:r>
      <w:r w:rsidRPr="00F67BFB">
        <w:rPr>
          <w:rFonts w:ascii="Corbel" w:hAnsi="Corbel" w:cs="Times New Roman"/>
          <w:sz w:val="22"/>
          <w:szCs w:val="22"/>
        </w:rPr>
        <w:t>.</w:t>
      </w:r>
    </w:p>
    <w:p w14:paraId="16162CA8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D. Strasser, 1990, </w:t>
      </w:r>
      <w:r w:rsidRPr="00F67BFB">
        <w:rPr>
          <w:rFonts w:ascii="Corbel" w:hAnsi="Corbel" w:cs="Times New Roman"/>
          <w:i/>
          <w:sz w:val="22"/>
          <w:szCs w:val="22"/>
        </w:rPr>
        <w:t>Les finances de l’Europe</w:t>
      </w:r>
      <w:r w:rsidRPr="00F67BFB">
        <w:rPr>
          <w:rFonts w:ascii="Corbel" w:hAnsi="Corbel" w:cs="Times New Roman"/>
          <w:sz w:val="22"/>
          <w:szCs w:val="22"/>
        </w:rPr>
        <w:t>, Paris, LGDJ, 4</w:t>
      </w:r>
      <w:r w:rsidRPr="00F67BFB">
        <w:rPr>
          <w:rFonts w:ascii="Corbel" w:hAnsi="Corbel" w:cs="Times New Roman"/>
          <w:sz w:val="22"/>
          <w:szCs w:val="22"/>
          <w:vertAlign w:val="superscript"/>
        </w:rPr>
        <w:t>ème</w:t>
      </w:r>
      <w:r w:rsidRPr="00F67BFB">
        <w:rPr>
          <w:rFonts w:ascii="Corbel" w:hAnsi="Corbel" w:cs="Times New Roman"/>
          <w:sz w:val="22"/>
          <w:szCs w:val="22"/>
        </w:rPr>
        <w:t xml:space="preserve"> éd..</w:t>
      </w:r>
    </w:p>
    <w:p w14:paraId="6BBBF502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A.-M. Tournepiche, 2011, Les accords interinstitutionnels dans l’Union européenne, Bruxelles, Bruylant.</w:t>
      </w:r>
    </w:p>
    <w:p w14:paraId="24B32E9C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090FEB45" w14:textId="77777777" w:rsidR="00F67BFB" w:rsidRPr="00392099" w:rsidRDefault="00F67BFB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  <w:r w:rsidRPr="00392099">
        <w:rPr>
          <w:rFonts w:ascii="Corbel" w:hAnsi="Corbel" w:cs="Times New Roman"/>
          <w:b/>
          <w:sz w:val="22"/>
          <w:szCs w:val="22"/>
          <w:u w:val="single"/>
        </w:rPr>
        <w:t>Chroniques financières annuelles</w:t>
      </w:r>
    </w:p>
    <w:p w14:paraId="42C16C51" w14:textId="77777777" w:rsidR="00F67BFB" w:rsidRPr="00F67BFB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A. Potteau, Finances publiques de l’Union européenne</w:t>
      </w:r>
      <w:r w:rsidRPr="00F67BFB">
        <w:rPr>
          <w:rFonts w:ascii="Corbel" w:hAnsi="Corbel" w:cs="Times New Roman"/>
          <w:i/>
          <w:sz w:val="22"/>
          <w:szCs w:val="22"/>
        </w:rPr>
        <w:t>, Rev. trim. dt. eur.</w:t>
      </w:r>
    </w:p>
    <w:p w14:paraId="11652663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I. Saarilahti, </w:t>
      </w:r>
      <w:r w:rsidRPr="00F67BFB">
        <w:rPr>
          <w:rFonts w:ascii="Corbel" w:hAnsi="Corbel" w:cs="Times New Roman"/>
          <w:i/>
          <w:sz w:val="22"/>
          <w:szCs w:val="22"/>
        </w:rPr>
        <w:t>Rev. Dt de l’Union eur.</w:t>
      </w:r>
    </w:p>
    <w:p w14:paraId="707E57F6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A.-M. Tournepiche, chronique financière, </w:t>
      </w:r>
      <w:r w:rsidRPr="00F67BFB">
        <w:rPr>
          <w:rFonts w:ascii="Corbel" w:hAnsi="Corbel" w:cs="Times New Roman"/>
          <w:i/>
          <w:sz w:val="22"/>
          <w:szCs w:val="22"/>
        </w:rPr>
        <w:t>An. dt de l’Union eur.</w:t>
      </w:r>
    </w:p>
    <w:p w14:paraId="3A017AD1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65D186E7" w14:textId="77777777" w:rsidR="00F67BFB" w:rsidRPr="00392099" w:rsidRDefault="00F67BFB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  <w:r w:rsidRPr="00392099">
        <w:rPr>
          <w:rFonts w:ascii="Corbel" w:hAnsi="Corbel" w:cs="Times New Roman"/>
          <w:b/>
          <w:sz w:val="22"/>
          <w:szCs w:val="22"/>
          <w:u w:val="single"/>
        </w:rPr>
        <w:t>Articles </w:t>
      </w:r>
    </w:p>
    <w:p w14:paraId="32314A19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N.-J. Bréhon, 2013, « L’accord sur le budget européen 2014-2020 : la fin d’un (petit) suspense budgétaire ? », Fondation Robert Schuman, </w:t>
      </w:r>
      <w:r w:rsidRPr="00F67BFB">
        <w:rPr>
          <w:rFonts w:ascii="Corbel" w:hAnsi="Corbel" w:cs="Times New Roman"/>
          <w:i/>
          <w:sz w:val="22"/>
          <w:szCs w:val="22"/>
        </w:rPr>
        <w:t>Question d’Europe</w:t>
      </w:r>
      <w:r w:rsidRPr="00F67BFB">
        <w:rPr>
          <w:rFonts w:ascii="Corbel" w:hAnsi="Corbel" w:cs="Times New Roman"/>
          <w:sz w:val="22"/>
          <w:szCs w:val="22"/>
        </w:rPr>
        <w:t xml:space="preserve"> n°266.</w:t>
      </w:r>
    </w:p>
    <w:p w14:paraId="27F4766D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N.-J. Bréhon, 2012, « Vers un nouveau financement de l’Union? », Fondation Robert Schuman, </w:t>
      </w:r>
      <w:r w:rsidRPr="00F67BFB">
        <w:rPr>
          <w:rFonts w:ascii="Corbel" w:hAnsi="Corbel" w:cs="Times New Roman"/>
          <w:i/>
          <w:sz w:val="22"/>
          <w:szCs w:val="22"/>
        </w:rPr>
        <w:t>Question d’Europe</w:t>
      </w:r>
      <w:r w:rsidRPr="00F67BFB">
        <w:rPr>
          <w:rFonts w:ascii="Corbel" w:hAnsi="Corbel" w:cs="Times New Roman"/>
          <w:sz w:val="22"/>
          <w:szCs w:val="22"/>
        </w:rPr>
        <w:t xml:space="preserve"> n°257.</w:t>
      </w:r>
    </w:p>
    <w:p w14:paraId="6870092A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J. Haas et   E. Rubio,  « Brexit et budget de l’UE : menace ou opportunité ? », Notre Europe, policy paper, 183, 16 janvier 2017</w:t>
      </w:r>
    </w:p>
    <w:p w14:paraId="2D1C7AB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A. Lamassoure, 2005, « Comment financer le budget européen ? » </w:t>
      </w:r>
      <w:r w:rsidRPr="00F67BFB">
        <w:rPr>
          <w:rFonts w:ascii="Corbel" w:hAnsi="Corbel" w:cs="Times New Roman"/>
          <w:i/>
          <w:sz w:val="22"/>
          <w:szCs w:val="22"/>
        </w:rPr>
        <w:t>Revue politique et parlementaire</w:t>
      </w:r>
      <w:r w:rsidRPr="00F67BFB">
        <w:rPr>
          <w:rFonts w:ascii="Corbel" w:hAnsi="Corbel" w:cs="Times New Roman"/>
          <w:sz w:val="22"/>
          <w:szCs w:val="22"/>
        </w:rPr>
        <w:t>, n° 1037.</w:t>
      </w:r>
    </w:p>
    <w:p w14:paraId="389D360B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J. Le Cacheux, 2005, Budget européen : le poison du juste retour, Notre Europe, Etudes et recherches, n° 41.</w:t>
      </w:r>
    </w:p>
    <w:p w14:paraId="022F233C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J. Molinier, 2010, « Budget de l’Union européenne-Principes budgétaires », </w:t>
      </w:r>
      <w:r w:rsidRPr="00F67BFB">
        <w:rPr>
          <w:rFonts w:ascii="Corbel" w:hAnsi="Corbel" w:cs="Times New Roman"/>
          <w:i/>
          <w:sz w:val="22"/>
          <w:szCs w:val="22"/>
        </w:rPr>
        <w:t>Juris-Classeur Europe</w:t>
      </w:r>
      <w:r w:rsidRPr="00F67BFB">
        <w:rPr>
          <w:rFonts w:ascii="Corbel" w:hAnsi="Corbel" w:cs="Times New Roman"/>
          <w:sz w:val="22"/>
          <w:szCs w:val="22"/>
        </w:rPr>
        <w:t>, Fasc. 198.</w:t>
      </w:r>
    </w:p>
    <w:p w14:paraId="6567631A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J. Molinier, 2010, « Budget de l’Union européenne-Contenu du budget », </w:t>
      </w:r>
      <w:r w:rsidRPr="00F67BFB">
        <w:rPr>
          <w:rFonts w:ascii="Corbel" w:hAnsi="Corbel" w:cs="Times New Roman"/>
          <w:i/>
          <w:sz w:val="22"/>
          <w:szCs w:val="22"/>
        </w:rPr>
        <w:t>Juris-Classeur Europe</w:t>
      </w:r>
      <w:r w:rsidRPr="00F67BFB">
        <w:rPr>
          <w:rFonts w:ascii="Corbel" w:hAnsi="Corbel" w:cs="Times New Roman"/>
          <w:sz w:val="22"/>
          <w:szCs w:val="22"/>
        </w:rPr>
        <w:t>, Fasc. 199.</w:t>
      </w:r>
    </w:p>
    <w:p w14:paraId="4A51C007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</w:p>
    <w:p w14:paraId="3D40A662" w14:textId="77777777" w:rsidR="00F67BFB" w:rsidRPr="00392099" w:rsidRDefault="00F67BFB" w:rsidP="00F67BFB">
      <w:pPr>
        <w:jc w:val="both"/>
        <w:rPr>
          <w:rFonts w:ascii="Corbel" w:hAnsi="Corbel" w:cs="Times New Roman"/>
          <w:b/>
          <w:sz w:val="22"/>
          <w:szCs w:val="22"/>
          <w:u w:val="single"/>
        </w:rPr>
      </w:pPr>
      <w:r w:rsidRPr="00392099">
        <w:rPr>
          <w:rFonts w:ascii="Corbel" w:hAnsi="Corbel" w:cs="Times New Roman"/>
          <w:b/>
          <w:sz w:val="22"/>
          <w:szCs w:val="22"/>
          <w:u w:val="single"/>
        </w:rPr>
        <w:t>Publications officielles</w:t>
      </w:r>
    </w:p>
    <w:p w14:paraId="743BCF45" w14:textId="16242A4A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>A</w:t>
      </w:r>
      <w:r w:rsidR="00BE14B4">
        <w:rPr>
          <w:rFonts w:ascii="Corbel" w:hAnsi="Corbel" w:cs="Times New Roman"/>
          <w:sz w:val="22"/>
          <w:szCs w:val="22"/>
        </w:rPr>
        <w:t>nnexe au projet de loi pour 2018</w:t>
      </w:r>
      <w:r w:rsidRPr="00F67BFB">
        <w:rPr>
          <w:rFonts w:ascii="Corbel" w:hAnsi="Corbel" w:cs="Times New Roman"/>
          <w:sz w:val="22"/>
          <w:szCs w:val="22"/>
        </w:rPr>
        <w:t xml:space="preserve">, </w:t>
      </w:r>
      <w:r w:rsidRPr="00F67BFB">
        <w:rPr>
          <w:rFonts w:ascii="Corbel" w:hAnsi="Corbel" w:cs="Times New Roman"/>
          <w:i/>
          <w:sz w:val="22"/>
          <w:szCs w:val="22"/>
        </w:rPr>
        <w:t>Relations financières avec l’Union européenne</w:t>
      </w:r>
      <w:r w:rsidRPr="00F67BFB">
        <w:rPr>
          <w:rFonts w:ascii="Corbel" w:hAnsi="Corbel" w:cs="Times New Roman"/>
          <w:sz w:val="22"/>
          <w:szCs w:val="22"/>
        </w:rPr>
        <w:t>, (« Jaune »).</w:t>
      </w:r>
    </w:p>
    <w:p w14:paraId="358B89D2" w14:textId="77777777" w:rsidR="00F67BFB" w:rsidRPr="00F67BFB" w:rsidRDefault="00F67BFB" w:rsidP="00F67BFB">
      <w:pPr>
        <w:jc w:val="both"/>
        <w:rPr>
          <w:rFonts w:ascii="Corbel" w:hAnsi="Corbel" w:cs="Times New Roman"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Commission européenne, 2009, </w:t>
      </w:r>
      <w:r w:rsidRPr="00F67BFB">
        <w:rPr>
          <w:rFonts w:ascii="Corbel" w:hAnsi="Corbel" w:cs="Times New Roman"/>
          <w:i/>
          <w:sz w:val="22"/>
          <w:szCs w:val="22"/>
        </w:rPr>
        <w:t>Les finances publiques de l’Union européenne</w:t>
      </w:r>
      <w:r w:rsidRPr="00F67BFB">
        <w:rPr>
          <w:rFonts w:ascii="Corbel" w:hAnsi="Corbel" w:cs="Times New Roman"/>
          <w:sz w:val="22"/>
          <w:szCs w:val="22"/>
        </w:rPr>
        <w:t>, 4</w:t>
      </w:r>
      <w:r w:rsidRPr="00F67BFB">
        <w:rPr>
          <w:rFonts w:ascii="Corbel" w:hAnsi="Corbel" w:cs="Times New Roman"/>
          <w:sz w:val="22"/>
          <w:szCs w:val="22"/>
          <w:vertAlign w:val="superscript"/>
        </w:rPr>
        <w:t>ème</w:t>
      </w:r>
      <w:r w:rsidRPr="00F67BFB">
        <w:rPr>
          <w:rFonts w:ascii="Corbel" w:hAnsi="Corbel" w:cs="Times New Roman"/>
          <w:sz w:val="22"/>
          <w:szCs w:val="22"/>
        </w:rPr>
        <w:t xml:space="preserve"> édition.</w:t>
      </w:r>
    </w:p>
    <w:p w14:paraId="45330B97" w14:textId="77777777" w:rsidR="00F67BFB" w:rsidRPr="00F67BFB" w:rsidRDefault="00F67BFB" w:rsidP="00F67BFB">
      <w:pPr>
        <w:jc w:val="both"/>
        <w:rPr>
          <w:rFonts w:ascii="Corbel" w:hAnsi="Corbel" w:cs="Times New Roman"/>
          <w:i/>
          <w:sz w:val="22"/>
          <w:szCs w:val="22"/>
        </w:rPr>
      </w:pPr>
      <w:r w:rsidRPr="00F67BFB">
        <w:rPr>
          <w:rFonts w:ascii="Corbel" w:hAnsi="Corbel" w:cs="Times New Roman"/>
          <w:sz w:val="22"/>
          <w:szCs w:val="22"/>
        </w:rPr>
        <w:t xml:space="preserve">Rapport général fait au nom de la commission des finances sur le projet de loi de finances pour 2017, A. de Montgolfier, n° 140, Senat, 24 novembre 2016, </w:t>
      </w:r>
    </w:p>
    <w:p w14:paraId="52507293" w14:textId="77777777" w:rsidR="00311C10" w:rsidRPr="00F67BFB" w:rsidRDefault="00311C10" w:rsidP="00F67BFB">
      <w:pPr>
        <w:rPr>
          <w:rFonts w:ascii="Corbel" w:hAnsi="Corbel"/>
          <w:sz w:val="22"/>
          <w:szCs w:val="22"/>
        </w:rPr>
      </w:pPr>
    </w:p>
    <w:sectPr w:rsidR="00311C10" w:rsidRPr="00F67BFB" w:rsidSect="00087ACA">
      <w:footerReference w:type="even" r:id="rId7"/>
      <w:footerReference w:type="default" r:id="rId8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D6F482" w14:textId="77777777" w:rsidR="00617D6D" w:rsidRDefault="00617D6D" w:rsidP="00F67BFB">
      <w:r>
        <w:separator/>
      </w:r>
    </w:p>
  </w:endnote>
  <w:endnote w:type="continuationSeparator" w:id="0">
    <w:p w14:paraId="7CA3F1E2" w14:textId="77777777" w:rsidR="00617D6D" w:rsidRDefault="00617D6D" w:rsidP="00F67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Vrinda">
    <w:panose1 w:val="00000000000000000000"/>
    <w:charset w:val="01"/>
    <w:family w:val="roman"/>
    <w:notTrueType/>
    <w:pitch w:val="variable"/>
  </w:font>
  <w:font w:name="Bell MT">
    <w:panose1 w:val="02020503060305020303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auto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B66002" w14:textId="77777777" w:rsidR="00F67BFB" w:rsidRDefault="00F67BFB" w:rsidP="00F67BFB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38E346D" w14:textId="77777777" w:rsidR="00F67BFB" w:rsidRDefault="00F67BFB" w:rsidP="00F67BFB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B7C6AD" w14:textId="77777777" w:rsidR="00F67BFB" w:rsidRDefault="00F67BFB" w:rsidP="00F67BFB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617D6D">
      <w:rPr>
        <w:rStyle w:val="Numrodepage"/>
        <w:noProof/>
      </w:rPr>
      <w:t>1</w:t>
    </w:r>
    <w:r>
      <w:rPr>
        <w:rStyle w:val="Numrodepage"/>
      </w:rPr>
      <w:fldChar w:fldCharType="end"/>
    </w:r>
  </w:p>
  <w:p w14:paraId="334DCA6B" w14:textId="77777777" w:rsidR="00F67BFB" w:rsidRDefault="00F67BFB" w:rsidP="00F67BFB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496067" w14:textId="77777777" w:rsidR="00617D6D" w:rsidRDefault="00617D6D" w:rsidP="00F67BFB">
      <w:r>
        <w:separator/>
      </w:r>
    </w:p>
  </w:footnote>
  <w:footnote w:type="continuationSeparator" w:id="0">
    <w:p w14:paraId="5D125B4F" w14:textId="77777777" w:rsidR="00617D6D" w:rsidRDefault="00617D6D" w:rsidP="00F67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84652"/>
    <w:multiLevelType w:val="hybridMultilevel"/>
    <w:tmpl w:val="404E6076"/>
    <w:lvl w:ilvl="0" w:tplc="C0E6DD02">
      <w:start w:val="2"/>
      <w:numFmt w:val="bullet"/>
      <w:lvlText w:val="-"/>
      <w:lvlJc w:val="left"/>
      <w:pPr>
        <w:ind w:left="106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">
    <w:nsid w:val="039F0ED4"/>
    <w:multiLevelType w:val="hybridMultilevel"/>
    <w:tmpl w:val="35683C3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ED098C"/>
    <w:multiLevelType w:val="hybridMultilevel"/>
    <w:tmpl w:val="FEA81666"/>
    <w:lvl w:ilvl="0" w:tplc="E5906012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Vrind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65192"/>
    <w:multiLevelType w:val="hybridMultilevel"/>
    <w:tmpl w:val="CC9280AE"/>
    <w:lvl w:ilvl="0" w:tplc="4956E9E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0816FF"/>
    <w:multiLevelType w:val="hybridMultilevel"/>
    <w:tmpl w:val="A91C21DE"/>
    <w:lvl w:ilvl="0" w:tplc="2A8A4154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Vrind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B32AB1"/>
    <w:multiLevelType w:val="hybridMultilevel"/>
    <w:tmpl w:val="3DF2EC90"/>
    <w:lvl w:ilvl="0" w:tplc="C966CEE2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FD3E63"/>
    <w:multiLevelType w:val="hybridMultilevel"/>
    <w:tmpl w:val="4A6C8210"/>
    <w:lvl w:ilvl="0" w:tplc="B64296E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A5291E"/>
    <w:multiLevelType w:val="hybridMultilevel"/>
    <w:tmpl w:val="15DE6A6C"/>
    <w:lvl w:ilvl="0" w:tplc="18B089C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645F6F"/>
    <w:multiLevelType w:val="hybridMultilevel"/>
    <w:tmpl w:val="FC501E0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D154DE"/>
    <w:multiLevelType w:val="hybridMultilevel"/>
    <w:tmpl w:val="268E7884"/>
    <w:lvl w:ilvl="0" w:tplc="A9E8D144">
      <w:start w:val="2"/>
      <w:numFmt w:val="bullet"/>
      <w:lvlText w:val="-"/>
      <w:lvlJc w:val="left"/>
      <w:pPr>
        <w:ind w:left="720" w:hanging="360"/>
      </w:pPr>
      <w:rPr>
        <w:rFonts w:ascii="Bell MT" w:eastAsia="Calibri" w:hAnsi="Bell MT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1"/>
  </w:num>
  <w:num w:numId="7">
    <w:abstractNumId w:val="9"/>
  </w:num>
  <w:num w:numId="8">
    <w:abstractNumId w:val="3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BFB"/>
    <w:rsid w:val="00087ACA"/>
    <w:rsid w:val="002565D8"/>
    <w:rsid w:val="00311C10"/>
    <w:rsid w:val="00392099"/>
    <w:rsid w:val="00617D6D"/>
    <w:rsid w:val="00620878"/>
    <w:rsid w:val="009B251C"/>
    <w:rsid w:val="00BE14B4"/>
    <w:rsid w:val="00DB21E3"/>
    <w:rsid w:val="00DE4525"/>
    <w:rsid w:val="00F6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07546E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BFB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F67BF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67BFB"/>
    <w:rPr>
      <w:lang w:val="fr-FR"/>
    </w:rPr>
  </w:style>
  <w:style w:type="character" w:styleId="Numrodepage">
    <w:name w:val="page number"/>
    <w:basedOn w:val="Policepardfaut"/>
    <w:uiPriority w:val="99"/>
    <w:semiHidden/>
    <w:unhideWhenUsed/>
    <w:rsid w:val="00F67BFB"/>
  </w:style>
  <w:style w:type="paragraph" w:styleId="Notedebasdepage">
    <w:name w:val="footnote text"/>
    <w:basedOn w:val="Normal"/>
    <w:link w:val="NotedebasdepageCar"/>
    <w:uiPriority w:val="99"/>
    <w:rsid w:val="00F67BFB"/>
    <w:pPr>
      <w:spacing w:after="200" w:line="276" w:lineRule="auto"/>
    </w:pPr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F67BFB"/>
    <w:rPr>
      <w:rFonts w:ascii="Calibri" w:eastAsia="Times New Roman" w:hAnsi="Calibri" w:cs="Times New Roman"/>
      <w:sz w:val="20"/>
      <w:szCs w:val="20"/>
      <w:lang w:val="fr-FR" w:eastAsia="en-US"/>
    </w:rPr>
  </w:style>
  <w:style w:type="character" w:styleId="Appelnotedebasdep">
    <w:name w:val="footnote reference"/>
    <w:basedOn w:val="Policepardfaut"/>
    <w:uiPriority w:val="99"/>
    <w:rsid w:val="00F67BFB"/>
    <w:rPr>
      <w:rFonts w:cs="Times New Roman"/>
      <w:vertAlign w:val="superscript"/>
    </w:rPr>
  </w:style>
  <w:style w:type="paragraph" w:styleId="Pardeliste">
    <w:name w:val="List Paragraph"/>
    <w:basedOn w:val="Normal"/>
    <w:uiPriority w:val="34"/>
    <w:qFormat/>
    <w:rsid w:val="00F67BF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F67B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466</Words>
  <Characters>2568</Characters>
  <Application>Microsoft Macintosh Word</Application>
  <DocSecurity>0</DocSecurity>
  <Lines>21</Lines>
  <Paragraphs>6</Paragraphs>
  <ScaleCrop>false</ScaleCrop>
  <Company/>
  <LinksUpToDate>false</LinksUpToDate>
  <CharactersWithSpaces>3028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</dc:creator>
  <cp:keywords/>
  <dc:description/>
  <cp:lastModifiedBy>Utilisateur de Microsoft Office</cp:lastModifiedBy>
  <cp:revision>2</cp:revision>
  <dcterms:created xsi:type="dcterms:W3CDTF">2019-12-02T15:51:00Z</dcterms:created>
  <dcterms:modified xsi:type="dcterms:W3CDTF">2019-12-02T15:51:00Z</dcterms:modified>
</cp:coreProperties>
</file>