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42" w:rsidRDefault="00961642" w:rsidP="00961642">
      <w:pPr>
        <w:ind w:left="0" w:firstLine="0"/>
        <w:rPr>
          <w:b/>
        </w:rPr>
      </w:pPr>
      <w:r>
        <w:rPr>
          <w:b/>
        </w:rPr>
        <w:t>Sélection d’arrêts récents mentionnant la notion d’intérêt général ou renvoyant à ses déclinaisons particulières (utilité publique, sécurité juridique, ordre public)</w:t>
      </w:r>
    </w:p>
    <w:p w:rsidR="00961642" w:rsidRDefault="00961642" w:rsidP="00C33240">
      <w:pPr>
        <w:ind w:hanging="720"/>
        <w:rPr>
          <w:b/>
        </w:rPr>
      </w:pPr>
    </w:p>
    <w:p w:rsidR="00C33240" w:rsidRDefault="00C33240" w:rsidP="00C33240">
      <w:pPr>
        <w:ind w:hanging="720"/>
        <w:rPr>
          <w:b/>
        </w:rPr>
      </w:pPr>
      <w:bookmarkStart w:id="0" w:name="_GoBack"/>
      <w:bookmarkEnd w:id="0"/>
      <w:r>
        <w:rPr>
          <w:b/>
        </w:rPr>
        <w:t xml:space="preserve">Contentieux de l’expropriation </w:t>
      </w:r>
    </w:p>
    <w:p w:rsidR="00C33240" w:rsidRDefault="00C33240">
      <w:pPr>
        <w:rPr>
          <w:b/>
        </w:rPr>
      </w:pPr>
      <w:r>
        <w:rPr>
          <w:b/>
        </w:rPr>
        <w:t xml:space="preserve">CE 18 octobre 2018 </w:t>
      </w:r>
      <w:r w:rsidRPr="00C33240">
        <w:rPr>
          <w:b/>
        </w:rPr>
        <w:t>Société pour la Protection des Paysages et de l'Esthétique de la France,</w:t>
      </w:r>
    </w:p>
    <w:p w:rsidR="00C33240" w:rsidRPr="00C33240" w:rsidRDefault="00C33240" w:rsidP="00C33240">
      <w:r w:rsidRPr="00C33240">
        <w:rPr>
          <w:highlight w:val="yellow"/>
        </w:rPr>
        <w:t>Il appartient au juge, lorsqu'il se prononce sur le caractère d'utilité publique d'une opération nécessitant l'expropriation d'immeubles ou de droits réels immobiliers, de contrôler successivement qu'elle répond à une finalité d'intérêt général, que l'expropriant n'était pas en mesure de réaliser l'opération dans des conditions équivalentes sans recourir à l'expropriation et, enfin, que les atteintes à la propriété privée, le coût financier et, le cas échéant, les inconvénients d'ordre social ou économique que comporte l'opération ne sont pas excessifs au regard de l'intérêt qu'elle présente.</w:t>
      </w:r>
    </w:p>
    <w:p w:rsidR="00C33240" w:rsidRPr="00C33240" w:rsidRDefault="00C33240" w:rsidP="00C33240">
      <w:r w:rsidRPr="00C33240">
        <w:t xml:space="preserve">9. En jugeant, eu égard à l'intérêt historique, architectural et patrimonial des immeubles concernés par l'élargissement sur une centaine de mètres de la partie ouest de la rue des Carmes comprise entre les </w:t>
      </w:r>
      <w:proofErr w:type="spellStart"/>
      <w:r w:rsidRPr="00C33240">
        <w:t>n°s</w:t>
      </w:r>
      <w:proofErr w:type="spellEnd"/>
      <w:r w:rsidRPr="00C33240">
        <w:t xml:space="preserve"> 45 et 77 bis, dont deux d'entre eux ont fait l'objet d'une procédure d'inscription au titre des monuments historiques, que les inconvénients entraînés par le projet litigieux porteraient à l'intérêt général une atteinte excessive, alors même qu'il était soutenu devant elle que cet élargissement présenterait un intérêt pour la commodité de la circulation, qu'il s'inscrirait dans le prolongement de la partie déjà élargie de cette rue, qu'il y favoriserait la redynamisation du potentiel commercial, et en dépit des mesures de préservation partielles qui auraient été envisagées pour les deux immeubles en instance de protection, la cour administrative d'appel, qui a suffisamment motivé son arrêt et qui pouvait, sans l'entacher d'une contrariété de motifs, considérer, eu égard à la divisibilité de l'opération, que l'exclusion des terrains situés entre les n°45 et 77 bis de la rue des Carmes n'avait pas pour effet de priver d'utilité publique les autres aménagements prévus, n'a ni dénaturé les pièces du dossier, ni inexactement qualifié les faits de l'espèce, ni commis d'erreur de droit.</w:t>
      </w:r>
    </w:p>
    <w:p w:rsidR="00C33240" w:rsidRDefault="00C33240" w:rsidP="00C33240">
      <w:pPr>
        <w:ind w:hanging="720"/>
        <w:rPr>
          <w:b/>
        </w:rPr>
      </w:pPr>
      <w:r>
        <w:rPr>
          <w:b/>
        </w:rPr>
        <w:t>Contentieux des contrats – pouvoirs du juge administratif</w:t>
      </w:r>
    </w:p>
    <w:p w:rsidR="00C33240" w:rsidRPr="00663A06" w:rsidRDefault="00C33240" w:rsidP="00C33240">
      <w:pPr>
        <w:rPr>
          <w:b/>
        </w:rPr>
      </w:pPr>
      <w:r w:rsidRPr="00663A06">
        <w:rPr>
          <w:b/>
        </w:rPr>
        <w:t>CE 15 mars 2019 SAGEM</w:t>
      </w:r>
    </w:p>
    <w:p w:rsidR="00C33240" w:rsidRDefault="00C33240" w:rsidP="00C33240">
      <w:r>
        <w:t>12. Il ressort toutefois de l'instruction qu'aux termes de la délibération du conseil municipal de Saint-Tropez du 2 août 2011 autorisant le maire à signer la concession d'aménagement avec la société Kaufman et Broad Provence, l'offre retenue comportait, en méconnaissance du règlement de consultation, un nombre très significatif de logements sociaux de types " PLAI " et " PLUS ", pour lesquels les constructeurs bénéficiaient d'importantes subventions publiques et de taux d'emprunt privilégiés, qui étaient de nature à modifier nettement l'équilibre économique du contrat. En outre, l'offre retenue prévoyait une densité supplémentaire de 2 000 m² environ sur le site de l'ancien hôpital par rapport au projet présenté dans le document programme, soit une hausse à ce titre de 10 % de la surface, ainsi que quatre-vingt-dix places supplémentaires de parking pour un nombre initialement prévu dans les documents de la consultation de 533. Dès lors, les modifications intervenues au stade de la signature de la convention ont modifié substantiellement l'économie du projet mis à la concurrence et ont ainsi porté atteinte aux règles de publicité et de mise en concurrence.</w:t>
      </w:r>
    </w:p>
    <w:p w:rsidR="00C33240" w:rsidRDefault="00C33240" w:rsidP="00C33240">
      <w:r>
        <w:t xml:space="preserve">13. Il appartient au juge du contrat, lorsqu'il constate l'existence de vices entachant la validité du contrat, d'en apprécier l'importance et les conséquences. Ainsi, il lui revient, après avoir pris en considération la nature de ces vices, soit de décider que la poursuite de l'exécution du contrat est possible, soit d'inviter les parties à prendre des mesures de régularisation dans un délai qu'il fixe, sauf à résilier ou résoudre le contrat. En présence d'irrégularités qui ne peuvent être couvertes par une mesure de régularisation et qui ne permettent pas la poursuite de l'exécution du contrat, il lui revient de prononcer, le cas échéant avec un effet différé, </w:t>
      </w:r>
      <w:r w:rsidRPr="00600C91">
        <w:rPr>
          <w:highlight w:val="yellow"/>
        </w:rPr>
        <w:t>après avoir vérifié que sa décision ne portera pas une atteinte excessive à l'intérêt général,</w:t>
      </w:r>
      <w:r>
        <w:t xml:space="preserve"> soit la résiliation du contrat, soit, si le contrat a un contenu illicite ou s'il se trouve affecté d'un vice de consentement ou de tout autre vice d'une particulière gravité que le juge doit ainsi relever d'office, l'annulation totale ou partielle de celui-ci. Il peut enfin, s'il en est saisi, faire droit, y compris lorsqu'il invite les parties à prendre des mesures de régularisation, à des conclusions tendant à l'indemnisation du préjudice découlant de l'atteinte à des droits lésés.</w:t>
      </w:r>
    </w:p>
    <w:p w:rsidR="00C33240" w:rsidRDefault="00C33240" w:rsidP="00C33240">
      <w:r>
        <w:t xml:space="preserve">14. Il résulte de l'instruction que les vices entachant la convention litigieuse, tirés de la méconnaissance des règles de publicité et de mise en concurrence, révèlent également, en l'état de l'instruction, une volonté de la personne publique de favoriser un candidat et ont affecté gravement la légalité du choix du concessionnaire. Par leur particulière gravité et en l'absence de régularisation possible, ils impliquent que soit prononcée l'annulation de la concession d'aménagement litigieuse, dès </w:t>
      </w:r>
      <w:r>
        <w:lastRenderedPageBreak/>
        <w:t xml:space="preserve">lors que, </w:t>
      </w:r>
      <w:r w:rsidRPr="00600C91">
        <w:rPr>
          <w:highlight w:val="yellow"/>
        </w:rPr>
        <w:t>contrairement à ce qui est soutenu en défense, une telle mesure ne portera pas une atteinte excessive à l'intérêt général.</w:t>
      </w:r>
    </w:p>
    <w:p w:rsidR="00C33240" w:rsidRDefault="00C33240" w:rsidP="00C33240"/>
    <w:p w:rsidR="00C33240" w:rsidRDefault="00C33240" w:rsidP="00C33240">
      <w:r>
        <w:t>15. D'une part, en effet, l'annulation d'une concession d'aménagement n'a pas, par elle-même, pour effet d'anéantir rétroactivement les actes passés pour son application. En particulier, il ne ressort pas de l'instruction que les baux emphytéotiques administratifs conclus entre la commune et l'aménageur en vue de la réalisation de biens locatifs intermédiaires et sociaux, qui ont fait l'objet d'actes séparés, pourraient encore être contestés. De même, les parties n'invoquent aucun élément permettant d'estimer sérieusement, notamment au regard des dispositions des articles 555 ou 1599 du code civil, que l'annulation prononcée aurait à elle seule pour effet de remettre en cause les actes de droit privé conclus, soit entre la commune et l'aménageur soit par l'aménageur avec des tiers, en vue de l'acquisition, de la vente ou de la location de biens immobiliers situés sur le périmètre de l'opération d'aménagement. Il n'est d'ailleurs pas même allégué que ces actes seraient entachés d'un quelconque vice du consentement qui pourrait conduire les personnes ayant acquis des biens réalisés dans le cadre de l'opération d'aménagement à les contester.</w:t>
      </w:r>
    </w:p>
    <w:p w:rsidR="00C33240" w:rsidRDefault="00C33240" w:rsidP="00C33240">
      <w:r>
        <w:t>16. D'autre part, ni la circonstance que la concession soit arrivée à son terme en août 2017 et que les travaux prévus seraient achevés, qui n'est pas de nature à priver d'objet une mesure d'annulation et ne révèle par elle-même aucune atteinte à l'intérêt général, ni l'hypothèse qu'une indemnité serait due par la commune à la société Kaufman et Broad Provence, dont le montant éventuel n'est étayé par aucune allégation sérieuse et qui ne pourra en tout état de cause s'apprécier que dans les conditions de droit commun, ne sont de nature à faire obstacle au prononcé de l'annulation du contrat.</w:t>
      </w:r>
    </w:p>
    <w:p w:rsidR="00C33240" w:rsidRDefault="00C33240" w:rsidP="00C33240">
      <w:pPr>
        <w:ind w:hanging="720"/>
        <w:rPr>
          <w:b/>
        </w:rPr>
      </w:pPr>
      <w:r>
        <w:rPr>
          <w:b/>
        </w:rPr>
        <w:t>Contentieux des contrats / pouvoirs de l’autorité administrative contractante</w:t>
      </w:r>
    </w:p>
    <w:p w:rsidR="00C33240" w:rsidRPr="00663A06" w:rsidRDefault="00C33240" w:rsidP="00C33240">
      <w:pPr>
        <w:rPr>
          <w:b/>
        </w:rPr>
      </w:pPr>
      <w:r w:rsidRPr="00663A06">
        <w:rPr>
          <w:b/>
        </w:rPr>
        <w:t xml:space="preserve">CE 3 mars 2017 Société </w:t>
      </w:r>
      <w:proofErr w:type="spellStart"/>
      <w:r w:rsidRPr="00663A06">
        <w:rPr>
          <w:b/>
        </w:rPr>
        <w:t>Lasercom</w:t>
      </w:r>
      <w:proofErr w:type="spellEnd"/>
    </w:p>
    <w:p w:rsidR="00C33240" w:rsidRDefault="00C33240" w:rsidP="00C33240">
      <w:r w:rsidRPr="00A575A0">
        <w:t xml:space="preserve">2. Considérant qu'en vertu des règles générales applicables aux contrats administratifs, </w:t>
      </w:r>
      <w:r w:rsidRPr="00A575A0">
        <w:rPr>
          <w:highlight w:val="yellow"/>
        </w:rPr>
        <w:t>la personne publique cocontractante peut toujours, pour un motif d'intérêt général, résilier unilatéralement un tel contrat, sous réserve des droits à indemnité de son cocontractant ;</w:t>
      </w:r>
      <w:r w:rsidRPr="00A575A0">
        <w:t xml:space="preserve"> que, si l'étendue et les modalités de cette indemnisation peuvent être déterminées par les stipulations contractuelles, l'interdiction faite aux personnes publiques de consentir des libéralités fait toutefois obstacle à ce que ces stipulations prévoient une indemnité de résiliation qui serait, au détriment de la personne publique, manifestement disproportionnée au montant du préjudice subi par le cocontractant du fait de cette résiliation ; </w:t>
      </w:r>
    </w:p>
    <w:p w:rsidR="00C33240" w:rsidRDefault="00C33240" w:rsidP="00C33240">
      <w:r w:rsidRPr="00A575A0">
        <w:t xml:space="preserve">que si, dans le cadre d'un litige indemnitaire, l'une des parties ou le juge soulève, avant la clôture de l'instruction, un moyen tiré de l'illicéité de la clause du contrat relative aux modalités d'indemnisation du cocontractant en cas de résiliation anticipée, il appartient à ce dernier de demander au juge la condamnation de la personne publique à l'indemniser du préjudice qu'il estime avoir subi du fait de la résiliation du contrat </w:t>
      </w:r>
      <w:r w:rsidRPr="00A575A0">
        <w:rPr>
          <w:highlight w:val="yellow"/>
        </w:rPr>
        <w:t>sur le fondement des règles générales applicables, dans le silence du contrat, à l'indemnisation du cocontractant en cas de résiliation du contrat pour un motif d'intérêt général ;</w:t>
      </w:r>
      <w:r w:rsidRPr="00A575A0">
        <w:t xml:space="preserve"> </w:t>
      </w:r>
    </w:p>
    <w:p w:rsidR="00C33240" w:rsidRDefault="00C33240" w:rsidP="00C33240">
      <w:proofErr w:type="gramStart"/>
      <w:r w:rsidRPr="00A575A0">
        <w:t>que</w:t>
      </w:r>
      <w:proofErr w:type="gramEnd"/>
      <w:r w:rsidRPr="00A575A0">
        <w:t>, dans l'hypothèse où le juge inviterait les parties à présenter leurs observations, en application de l'article R. 611-7 du code de justice administrative, sur le moyen soulevé d'office et tiré de l'illicéité de la clause d'indemnisation du contrat, le cocontractant de la personne publique peut, dans ses observations en réponse soumises au contradictoire, fonder sa demande de réparation sur ces règles générales applicables aux contrats administratifs ;</w:t>
      </w:r>
    </w:p>
    <w:p w:rsidR="00C33240" w:rsidRDefault="00C33240">
      <w:pPr>
        <w:rPr>
          <w:b/>
        </w:rPr>
      </w:pPr>
    </w:p>
    <w:p w:rsidR="009A0781" w:rsidRPr="00663A06" w:rsidRDefault="009A0781">
      <w:pPr>
        <w:rPr>
          <w:b/>
        </w:rPr>
      </w:pPr>
      <w:r w:rsidRPr="00663A06">
        <w:rPr>
          <w:b/>
        </w:rPr>
        <w:t xml:space="preserve">CE 27 mars 2020 Commune de Palavas les Flots </w:t>
      </w:r>
    </w:p>
    <w:p w:rsidR="009A0781" w:rsidRDefault="009A0781">
      <w:r w:rsidRPr="009A0781">
        <w:t xml:space="preserve">En second lieu, pour prononcer la reprise des relations contractuelles entre la commune de Palavas-les-Flots et la société Blue </w:t>
      </w:r>
      <w:proofErr w:type="spellStart"/>
      <w:r w:rsidRPr="009A0781">
        <w:t>Boats</w:t>
      </w:r>
      <w:proofErr w:type="spellEnd"/>
      <w:r w:rsidRPr="009A0781">
        <w:t>, la cour administrative d'appel de Marseille s'est fondée sur ce que le motif invoqué par le maire, tiré de la volonté de la commune d'utiliser la dépendance du domaine public litigieuse pour le stationnement des véhicules du personnel d'une maison de retraite relevant du centre communal d'action sociale implantée à proximité, ne pouvait justifier la résiliation de la convention du 8 juillet 2014, dès lors que la commune disposait déjà d'un parc de stationnement municipal à proximité, au sein duquel dix-sept places de stationnement avaient été prévues à l'usage exclusif de la maison de retraite, que les difficultés de stationnement rencontrées par le personnel de la maison de retraite n'étaient pas établies par les pièces du dossier et qu'en outre, aucun élément ne permettait d'établir une modification significative de la fréquentation touristique du quartier depuis 2014.</w:t>
      </w:r>
    </w:p>
    <w:p w:rsidR="009C08B4" w:rsidRDefault="009A0781">
      <w:r w:rsidRPr="009A0781">
        <w:lastRenderedPageBreak/>
        <w:t xml:space="preserve"> En procédant ainsi à une appréciation des besoins de stationnement dans la commune et de la pertinence des choix des autorités municipales, alors que la volonté de la commune d'utiliser la dépendance litigieuse en vue de créer un espace de stationnement en centre-ville pour les besoins d'une maison de retraite </w:t>
      </w:r>
      <w:r w:rsidRPr="00600C91">
        <w:rPr>
          <w:highlight w:val="yellow"/>
        </w:rPr>
        <w:t>caractérisait un motif d'intérêt général de nature à justifier la résiliation d'une convention</w:t>
      </w:r>
      <w:r w:rsidRPr="009A0781">
        <w:t xml:space="preserve"> par laquelle elle avait accordé une autorisation, précaire et révocable en vertu de l'article L. 2122-3 du code général de la propriété des personnes publiques, en vue de l'occupation privative de la dépendance à des fins d'activité commerciale, la cour administrative d'appel a entaché son arrêt d'une erreur de droit.</w:t>
      </w:r>
    </w:p>
    <w:p w:rsidR="009A0781" w:rsidRPr="00C33240" w:rsidRDefault="00C33240" w:rsidP="00C33240">
      <w:pPr>
        <w:ind w:hanging="720"/>
        <w:rPr>
          <w:b/>
        </w:rPr>
      </w:pPr>
      <w:r w:rsidRPr="00C33240">
        <w:rPr>
          <w:b/>
        </w:rPr>
        <w:t>Contentieux des travaux publics</w:t>
      </w:r>
    </w:p>
    <w:p w:rsidR="009A0781" w:rsidRPr="00663A06" w:rsidRDefault="009A0781">
      <w:pPr>
        <w:rPr>
          <w:b/>
        </w:rPr>
      </w:pPr>
      <w:r w:rsidRPr="00663A06">
        <w:rPr>
          <w:b/>
        </w:rPr>
        <w:t>Conseil d’Etat, section, 6 décembre 2019, Syndicat des copropriétaires du Monte Carlo Hill</w:t>
      </w:r>
    </w:p>
    <w:p w:rsidR="009A0781" w:rsidRDefault="009A0781">
      <w:r w:rsidRPr="009A0781">
        <w:t>2. Lorsque le juge administratif condamne une personne publique responsable de dommages qui trouvent leur origine dans l'exécution de travaux publics ou dans l'existence ou le fonctionnement d'un ouvrage public, il peut, saisi de conclusions en ce sens, s'il constate qu'un dommage perdure à la date à laquelle il statue du fait de la faute que commet, en s'abstenant de prendre les mesures de nature à y mettre fin ou à en pallier les effets, la personne publique, enjoindre à celle-ci de prendre de telles mesures. Pour apprécier si la personne publique commet, par son abstention, une faute, il lui incombe, en prenant en compte l'ensemble des circonstances de fait à la date de sa décision, de vérifier d'abord si la persistance du dommage trouve son origine non dans la seule réalisation de travaux ou la seule existence d'un ouvrage, mais dans l'exécution défectueuse des travaux ou dans un défaut ou un fonctionnement anormal de l'ouvrage et</w:t>
      </w:r>
      <w:r w:rsidRPr="00600C91">
        <w:rPr>
          <w:highlight w:val="yellow"/>
        </w:rPr>
        <w:t>, si tel est le cas, de s'assurer qu'aucun motif d'intérêt général, qui peut tenir au coût manifestement disproportionné des mesures à prendre par rapport au préjudice subi</w:t>
      </w:r>
      <w:r w:rsidRPr="009A0781">
        <w:t>, ou aucun droit de tiers ne justifie l'abstention de la personne publique. En l'absence de toute abstention fautive de la personne publique, le juge ne peut faire droit à une demande d'injonction, mais il peut décider que l'administration aura le choix entre le versement d'une indemnité dont il fixe le montant et la réalisation de mesures dont il définit la nature et les délais d'exécution.</w:t>
      </w:r>
    </w:p>
    <w:p w:rsidR="00C33240" w:rsidRPr="00663A06" w:rsidRDefault="00C33240" w:rsidP="00C33240">
      <w:pPr>
        <w:rPr>
          <w:b/>
        </w:rPr>
      </w:pPr>
      <w:r w:rsidRPr="00663A06">
        <w:rPr>
          <w:b/>
        </w:rPr>
        <w:t>CE 29 novembre 2019 A. c/ Ecole nationale supérieure des Beaux-Arts.</w:t>
      </w:r>
    </w:p>
    <w:p w:rsidR="00C33240" w:rsidRDefault="00C33240" w:rsidP="00C33240">
      <w:r>
        <w:t>En ce qui concerne le cadre juridique applicable :</w:t>
      </w:r>
    </w:p>
    <w:p w:rsidR="00C33240" w:rsidRDefault="00C33240" w:rsidP="00C33240">
      <w:r>
        <w:t xml:space="preserve">6. Lorsqu'il est saisi d'une demande tendant à ce que soit ordonnée la démolition d'un ouvrage public dont il est allégué qu'il est irrégulièrement implanté par un requérant qui estime subir un préjudice du fait de l'implantation de cet ouvrage et qui en a demandé sans succès la démolition à l'administration, il appartient au juge administratif, juge de plein contentieux, de déterminer, en fonction de la situation de droit et de fait existant à la date à laquelle il statue, si l'ouvrage est irrégulièrement implanté, puis, si tel est le cas, de rechercher, d'abord, si eu égard notamment à la nature de l'irrégularité, une régularisation appropriée est possible, puis, dans la négative, de prendre en considération, d'une part les inconvénients que la présence de l'ouvrage entraîne pour les divers intérêts publics ou privés en présence, notamment, le cas échéant, pour le propriétaire du terrain d'assiette de l'ouvrage, </w:t>
      </w:r>
      <w:r w:rsidRPr="00600C91">
        <w:rPr>
          <w:highlight w:val="yellow"/>
        </w:rPr>
        <w:t>d'autre part, les conséquences de la démolition pour l'intérêt général, et d'apprécier, en rapprochant ces éléments, si la démolition n'entraîne pas une atteinte excessive à l'intérêt général.</w:t>
      </w:r>
    </w:p>
    <w:p w:rsidR="00C33240" w:rsidRDefault="00C33240" w:rsidP="00C33240">
      <w:r>
        <w:t>En ce qui concerne le bien-fondé de l'action :</w:t>
      </w:r>
    </w:p>
    <w:p w:rsidR="00C33240" w:rsidRDefault="00C33240" w:rsidP="00C33240">
      <w:r>
        <w:t xml:space="preserve">8. En premier lieu, ainsi qu'il a été dit au point 3, il résulte de l'instruction que les deux bâtiments temporaires d'une surface hors </w:t>
      </w:r>
      <w:proofErr w:type="spellStart"/>
      <w:r>
        <w:t>oeuvre</w:t>
      </w:r>
      <w:proofErr w:type="spellEnd"/>
      <w:r>
        <w:t xml:space="preserve"> nette de 1036 m² ont été autorisés par l'arrêté du 14 août 2001 pour une durée de quatre ans et devaient être démontés au terme cette durée. Ces ouvrages ayant été maintenus sans autorisation au-delà de ce délai, ils sont irrégulièrement implantés.</w:t>
      </w:r>
    </w:p>
    <w:p w:rsidR="00C33240" w:rsidRDefault="00C33240" w:rsidP="00C33240">
      <w:r>
        <w:t xml:space="preserve">9. En deuxième lieu, il résulte de l'instruction que le ministre chargé de la culture n'a donné son accord à la construction des bâtiments, au titre de la protection des monuments historiques et des sites, qu'en raison de leur caractère provisoire, limité à quatre ans. Eu égard aux caractéristiques des bâtiments et à leur maintien pendant une durée telle qu'elle ne saurait être regardée comme provisoire, il ne résulte pas de l'instruction, et n'est d'ailleurs pas soutenu, que l'autorité administrative pourrait légalement en autoriser l'implantation, sur le fondement des dispositions du livre VI du code </w:t>
      </w:r>
      <w:proofErr w:type="gramStart"/>
      <w:r>
        <w:t>du patrimoine relatives</w:t>
      </w:r>
      <w:proofErr w:type="gramEnd"/>
      <w:r>
        <w:t xml:space="preserve"> à la protection des sites patrimoniaux remarquables et des monuments historiques. En outre, eu égard à l'atteinte qu'ils portent au caractère et à l'intérêt des monuments historiques et du site dans lequel ils sont implantés, un permis de construire ne saurait être délivré en vue de l'édification de tels bâtiments sans méconnaître les dispositions du règlement du plan local d'urbanisme de la ville de Paris. Par suite, l'implantation, irrégulière, des ouvrages litigieux ne peut être régularisée.</w:t>
      </w:r>
    </w:p>
    <w:p w:rsidR="00C33240" w:rsidRDefault="00C33240" w:rsidP="00C33240">
      <w:r>
        <w:lastRenderedPageBreak/>
        <w:t xml:space="preserve">10. En troisième lieu, d'une part, il résulte de l'instruction que le maintien de ces bâtiments préfabriqués en acier et en verre installés entre le palais des études et le jardin de l'hôtel de Chimay de l'École nationale supérieure des Beaux-Arts, classée au titre des monuments historiques, porte une atteinte substantielle à l'intérêt et au caractère de leur site d'implantation et de leur environnement proche et </w:t>
      </w:r>
      <w:r w:rsidRPr="00600C91">
        <w:rPr>
          <w:highlight w:val="yellow"/>
        </w:rPr>
        <w:t>présente ainsi un inconvénient majeur pour l'intérêt public qui s'attache à la préservation du patrimoine.</w:t>
      </w:r>
    </w:p>
    <w:p w:rsidR="00C33240" w:rsidRDefault="00C33240" w:rsidP="00C33240">
      <w:r>
        <w:t>11. D'autre part, il ne résulte pas de l'instruction, contrairement à ce qui est soutenu en défense, que la continuité du service public de l'enseignement supérieur rendrait indispensable le maintien de ces ouvrages, ni que l'intérêt qui s'attache à la proximité géographique entre les locaux d'enseignement de l'École nationale supérieure des Beaux-Arts et l'École nationale supérieure d'architecture Paris-</w:t>
      </w:r>
      <w:proofErr w:type="spellStart"/>
      <w:r>
        <w:t>Malaquais</w:t>
      </w:r>
      <w:proofErr w:type="spellEnd"/>
      <w:r>
        <w:t xml:space="preserve"> ne puisse être satisfait autrement que par l'usage continu de tels bâtiments, qui n'ont pas été conçus pour une implantation pérenne et une utilisation permanente comme locaux d'enseignement, et ne peuvent, dès lors, être regardés comme permettant d'assurer les missions d'enseignement supérieur et de recherche dans des conditions satisfaisantes. En outre, il n'est pas établi que, plus de dix-huit ans après l'installation des bâtiments provisoires, les travaux qui les avaient justifiés n'auraient pas pu être menés à bien ; il résulte au contraire de l'instruction que l'État et les établissements d'enseignement supérieurs ont décidé et engagé plusieurs programmes de travaux au cours de la quinzaine d'années ayant suivi la date à laquelle ces bâtiments devaient être démontés.</w:t>
      </w:r>
    </w:p>
    <w:p w:rsidR="00C33240" w:rsidRDefault="00C33240" w:rsidP="00C33240">
      <w:r w:rsidRPr="00600C91">
        <w:rPr>
          <w:highlight w:val="yellow"/>
        </w:rPr>
        <w:t>12. Par suite, compte tenu de l'ensemble de ces éléments, la démolition des ouvrages litigieux ne saurait être regardée comme entraînant une atteinte excessive à l'intérêt général.</w:t>
      </w:r>
    </w:p>
    <w:p w:rsidR="009A0781" w:rsidRDefault="009A0781"/>
    <w:p w:rsidR="00C33240" w:rsidRDefault="00C33240" w:rsidP="00C33240">
      <w:pPr>
        <w:ind w:hanging="720"/>
        <w:rPr>
          <w:b/>
        </w:rPr>
      </w:pPr>
      <w:r>
        <w:rPr>
          <w:b/>
        </w:rPr>
        <w:t xml:space="preserve">Contentieux de la fonction publique / principe d’égalité </w:t>
      </w:r>
      <w:r w:rsidR="00F23DAC">
        <w:rPr>
          <w:b/>
        </w:rPr>
        <w:t>de traitement des agents publics</w:t>
      </w:r>
    </w:p>
    <w:p w:rsidR="009A0781" w:rsidRPr="00663A06" w:rsidRDefault="00D5255A">
      <w:pPr>
        <w:rPr>
          <w:b/>
        </w:rPr>
      </w:pPr>
      <w:r w:rsidRPr="00663A06">
        <w:rPr>
          <w:b/>
        </w:rPr>
        <w:t xml:space="preserve">CE 6 novembre </w:t>
      </w:r>
      <w:proofErr w:type="gramStart"/>
      <w:r w:rsidRPr="00663A06">
        <w:rPr>
          <w:b/>
        </w:rPr>
        <w:t>2019  Fédération</w:t>
      </w:r>
      <w:proofErr w:type="gramEnd"/>
      <w:r w:rsidRPr="00663A06">
        <w:rPr>
          <w:b/>
        </w:rPr>
        <w:t xml:space="preserve"> nationale de l'Equipement et de l'Environnement CGT et autres</w:t>
      </w:r>
    </w:p>
    <w:p w:rsidR="009A0781" w:rsidRDefault="009A0781" w:rsidP="009A0781">
      <w:r>
        <w:t xml:space="preserve">1. L'égalité de traitement à laquelle ont droit les agents d'un même corps ne s'oppose pas à ce que l'autorité investie du pouvoir réglementaire règle de façon différente des situations différentes, en particulier en instituant des régimes indemnitaires tenant compte de fonctions, de responsabilités ou de sujétions particulières </w:t>
      </w:r>
      <w:r w:rsidRPr="00600C91">
        <w:rPr>
          <w:highlight w:val="yellow"/>
        </w:rPr>
        <w:t>ni à ce qu'elle déroge à l'égalité pour des raisons d'intérêt général</w:t>
      </w:r>
      <w:r>
        <w:t>, pourvu que dans l'un comme dans l'autre cas, la différence de traitement qui en résulte soit en rapport avec l'objet de la norme qui l'établit. L'intérêt général qui s'attache à la création de corps interministériels ou ministériels par la fusion de corps existants justifie ainsi le maintien de régimes indemnitaires différents au sein du nouveau corps, qui ne tiennent pas à la particularité des fonctions, responsabilités ou sujétions dès lors qu'une telle différence, ayant pour objet de faciliter la création du corps, disparaît à l'issue d'une période de transition d'une durée raisonnable.</w:t>
      </w:r>
    </w:p>
    <w:p w:rsidR="009A0781" w:rsidRDefault="009A0781" w:rsidP="009A0781"/>
    <w:p w:rsidR="009A0781" w:rsidRDefault="009A0781" w:rsidP="009A0781">
      <w:r>
        <w:t>2. Un décret du 18 avril 2018 a organisé l'intégration des membres du corps des inspecteurs des affaires maritimes, selon la nature des fonctions qu'ils exerçaient, soit dans le corps interministériel des attachés d'administration de l'Etat, soit dans le corps des ingénieurs des travaux publics de l'Etat. Un décret du 17 juillet 2018 a modifié le régime indemnitaire des membres du corps des ingénieurs des travaux publics de l'Etat. La Fédération nationale de l'équipement et de l'environnement CGT (FNEE CGT) et les autres requérants demandent au Conseil d'Etat d'annuler pour excès de pouvoir le 2° de l'article 3 de ce décret qui maintient aux inspecteurs des affaires maritimes intégrés dans le corps des ingénieurs des travaux publics de l'Etat le régime indemnitaire antérieur à leur intégration, le régime indemnitaire tenant compte des fonctions, des sujétions, de l'expertise et de l'engagement professionnel (RIFSEEP) créé par un décret du 20 mai 2014.</w:t>
      </w:r>
    </w:p>
    <w:p w:rsidR="009A0781" w:rsidRDefault="009A0781" w:rsidP="009A0781">
      <w:r>
        <w:t xml:space="preserve">3. Si les requérants font valoir que cette différence de traitement entre membres du corps des ingénieurs des travaux publics de l'Etat ne correspond à aucune différence de situation et conduit à de fortes disparités en son sein, il ressort des pièces du dossier que la décision de maintenir aux inspecteurs des affaires maritimes le régime indemnitaire antérieur à leur intégration est liée à leur incorporation dans le corps et à la réforme prochaine du régime indemnitaire des ingénieurs des travaux publics de l'Etat, qui doivent également se voir appliquer le RIFSEEP. </w:t>
      </w:r>
      <w:r w:rsidRPr="00600C91">
        <w:rPr>
          <w:highlight w:val="yellow"/>
        </w:rPr>
        <w:t>Ces éléments constituent, à la date du décret attaqué, un motif d'intérêt général justifiant la différence de traitement contestée</w:t>
      </w:r>
      <w:r>
        <w:t>. Par suite, l'unique moyen de la requête, tiré de ce que les dispositions contestées méconnaîtraient le principe d'égalité doit être écarté.</w:t>
      </w:r>
    </w:p>
    <w:p w:rsidR="00C33240" w:rsidRDefault="00C33240" w:rsidP="00C33240">
      <w:pPr>
        <w:ind w:hanging="720"/>
        <w:rPr>
          <w:b/>
        </w:rPr>
      </w:pPr>
      <w:r>
        <w:rPr>
          <w:b/>
        </w:rPr>
        <w:t xml:space="preserve">Contentieux des actes unilatéraux / principe de sécurité juridique </w:t>
      </w:r>
    </w:p>
    <w:p w:rsidR="00663A06" w:rsidRPr="00663A06" w:rsidRDefault="00663A06" w:rsidP="00600C91">
      <w:pPr>
        <w:rPr>
          <w:b/>
        </w:rPr>
      </w:pPr>
      <w:r w:rsidRPr="00663A06">
        <w:rPr>
          <w:b/>
        </w:rPr>
        <w:t xml:space="preserve">CE 14 mai 2014 Société </w:t>
      </w:r>
      <w:proofErr w:type="spellStart"/>
      <w:r w:rsidRPr="00663A06">
        <w:rPr>
          <w:b/>
        </w:rPr>
        <w:t>Addmedica</w:t>
      </w:r>
      <w:proofErr w:type="spellEnd"/>
    </w:p>
    <w:p w:rsidR="00663A06" w:rsidRDefault="00663A06" w:rsidP="00663A06">
      <w:r>
        <w:lastRenderedPageBreak/>
        <w:t>Considérant que l'annulation d'un acte dont l'exécution a été suspendue par le juge administratif statuant en référé produit en principe ses effets dès le prononcé de cette décision juridictionnelle ; que, toutefois</w:t>
      </w:r>
      <w:r w:rsidRPr="00663A06">
        <w:rPr>
          <w:highlight w:val="yellow"/>
        </w:rPr>
        <w:t>, s'il apparaît que cette annulation est de nature, compte tenu des difficultés de tous ordres qui peuvent en résulter et auxquelles l'administration ne serait pas en état de parer immédiatement elle-même, à porter atteinte au principe de sécurité juridique</w:t>
      </w:r>
      <w:r>
        <w:t>, il appartient au juge administratif, le cas échéant d'office, d'apprécier s'il y a lieu de décider que sa décision d'annulation soit accompagnée de mesures transitoires destinées à assurer le respect de ce principe et, en ce cas, de prescrire la publication de sa décision au Journal officiel de la République française ;</w:t>
      </w:r>
    </w:p>
    <w:p w:rsidR="00663A06" w:rsidRDefault="00663A06" w:rsidP="00663A06">
      <w:r>
        <w:t xml:space="preserve">7. Considérant que l'annulation de la décision attaquée a pour effet, d'une part, d'interdire la vente des spécialités </w:t>
      </w:r>
      <w:proofErr w:type="spellStart"/>
      <w:r>
        <w:t>Siklos</w:t>
      </w:r>
      <w:proofErr w:type="spellEnd"/>
      <w:r>
        <w:t xml:space="preserve"> 100 mg et 1 000 mg aux prix initialement fixés par le comité économique des produits de santé et, d'autre part, de mettre fin aux prix temporairement fixés par une décision du 21 novembre 2012 du même comité, prise en application de l'article 2 de l'ordonnance du 6 novembre 2012 par laquelle le juge des référés du Conseil d'Etat a suspendu l'exécution de la décision attaquée, de sorte que ces spécialités ne pourraient plus, à la date de la présente décision, être commercialisées, faute de disposer d'un prix de vente au public ; qu'en l'espèce, eu égard au principe de sécurité juridique qui s'attache à ce que les spécialités </w:t>
      </w:r>
      <w:proofErr w:type="spellStart"/>
      <w:r>
        <w:t>Siklos</w:t>
      </w:r>
      <w:proofErr w:type="spellEnd"/>
      <w:r>
        <w:t xml:space="preserve"> 100 mg et 1 000 mg puissent continuer à être commercialisées en l'attente de l'intervention d'une nouvelle décision du comité économique des produits de santé fixant leurs prix, il y a lieu de prévoir que les prix temporairement fixés par la décision du 21 novembre 2012 du comité continuent de s'appliquer jusqu'à l'intervention de cette nouvelle décision ; qu'il y a lieu, par suite, de prescrire la publication de la présente décision au Journal officiel de la République française ;</w:t>
      </w:r>
    </w:p>
    <w:p w:rsidR="00663A06" w:rsidRDefault="00663A06" w:rsidP="00663A06">
      <w:r>
        <w:t>D E C I D E :</w:t>
      </w:r>
    </w:p>
    <w:p w:rsidR="00663A06" w:rsidRDefault="00663A06" w:rsidP="00663A06">
      <w:r>
        <w:t>--------------</w:t>
      </w:r>
    </w:p>
    <w:p w:rsidR="00663A06" w:rsidRDefault="00663A06" w:rsidP="00663A06">
      <w:r>
        <w:t>Article 1er : La décision du comité économique des produits de santé du 20 septembre 2012 est annulée.</w:t>
      </w:r>
    </w:p>
    <w:p w:rsidR="00663A06" w:rsidRDefault="00663A06" w:rsidP="00663A06">
      <w:r>
        <w:t xml:space="preserve">Article 2 : Il est enjoint au comité économique des produits de santé de procéder au réexamen de la demande de la société </w:t>
      </w:r>
      <w:proofErr w:type="spellStart"/>
      <w:r>
        <w:t>Addmedica</w:t>
      </w:r>
      <w:proofErr w:type="spellEnd"/>
      <w:r>
        <w:t xml:space="preserve"> et de fixer, dans un délai d'un mois à compter de la notification de la présente décision, un nouveau prix de vente au public des spécialités </w:t>
      </w:r>
      <w:proofErr w:type="spellStart"/>
      <w:r>
        <w:t>Siklos</w:t>
      </w:r>
      <w:proofErr w:type="spellEnd"/>
      <w:r>
        <w:t xml:space="preserve"> 100 mg et 1 000 mg.</w:t>
      </w:r>
    </w:p>
    <w:p w:rsidR="00663A06" w:rsidRDefault="00663A06" w:rsidP="00663A06">
      <w:r w:rsidRPr="00663A06">
        <w:t xml:space="preserve">Article 3 : Les prix de vente au public des spécialités </w:t>
      </w:r>
      <w:proofErr w:type="spellStart"/>
      <w:r w:rsidRPr="00663A06">
        <w:t>Siklos</w:t>
      </w:r>
      <w:proofErr w:type="spellEnd"/>
      <w:r w:rsidRPr="00663A06">
        <w:t xml:space="preserve"> 100 mg et 1 000 mg fixés par la décision du 21 novembre 2012 du comité économique des produits de santé continuent de s'appliquer jusqu'à l'exécution de l'injonction prononcée à l'article 2.</w:t>
      </w:r>
    </w:p>
    <w:p w:rsidR="00E3303A" w:rsidRDefault="00E3303A" w:rsidP="00E3303A">
      <w:pPr>
        <w:ind w:hanging="720"/>
        <w:rPr>
          <w:b/>
        </w:rPr>
      </w:pPr>
      <w:r>
        <w:rPr>
          <w:b/>
        </w:rPr>
        <w:t xml:space="preserve">Contentieux des mesures de police / protection de l’ordre public </w:t>
      </w:r>
    </w:p>
    <w:p w:rsidR="00663A06" w:rsidRPr="00E3303A" w:rsidRDefault="00663A06" w:rsidP="00E3303A">
      <w:pPr>
        <w:ind w:firstLine="698"/>
        <w:rPr>
          <w:b/>
        </w:rPr>
      </w:pPr>
      <w:r w:rsidRPr="00E3303A">
        <w:rPr>
          <w:b/>
        </w:rPr>
        <w:t xml:space="preserve">CE 6 juin 2018 Ligue des droits de l’Homme </w:t>
      </w:r>
    </w:p>
    <w:p w:rsidR="00663A06" w:rsidRDefault="00663A06" w:rsidP="00663A06">
      <w:r w:rsidRPr="00663A06">
        <w:t xml:space="preserve">Il ressort des termes mêmes de l'arrêté attaqué que l'interdiction qu'il édicte poursuit à la fois </w:t>
      </w:r>
      <w:r w:rsidRPr="005662C1">
        <w:rPr>
          <w:highlight w:val="yellow"/>
        </w:rPr>
        <w:t>l'objectif de protection des mineurs de moins de 13 ans contre les violences dont ils pourraient être les victimes que celui de prévention des troubles qu'ils pourraient causer à l'ordre public</w:t>
      </w:r>
      <w:r w:rsidRPr="00663A06">
        <w:t xml:space="preserve">. Or, si la ville de Béziers a produit devant les juges du fond le texte de la " déclinaison départementale de la stratégie nationale de prévention de la délinquance pour la période 2014-2017 " dans le département de l'Hérault ainsi qu'une note du 3 juillet 2014 du commissariat central de la circonscription de Béziers, il ne ressort de ces documents ni que la mise en cause des mineurs de moins de 13 ans présente un niveau particulièrement élevé dans les zones concernées par l'arrêté attaqué, ni que l'augmentation de la délinquance constatée, en 2013 et au premier semestre 2014, dans ces zones se soit accompagnée d'une implication croissante de ces mineurs. Dans ces conditions, en jugeant, sans que des éléments précis et circonstanciés de nature à étayer l'existence de risques particuliers relatifs aux mineurs de moins de 13 ans dans le </w:t>
      </w:r>
      <w:proofErr w:type="spellStart"/>
      <w:r w:rsidRPr="00663A06">
        <w:t>centre ville</w:t>
      </w:r>
      <w:proofErr w:type="spellEnd"/>
      <w:r w:rsidRPr="00663A06">
        <w:t xml:space="preserve"> de Béziers et dans le quartier de la </w:t>
      </w:r>
      <w:proofErr w:type="spellStart"/>
      <w:r w:rsidRPr="00663A06">
        <w:t>Devèze</w:t>
      </w:r>
      <w:proofErr w:type="spellEnd"/>
      <w:r w:rsidRPr="00663A06">
        <w:t xml:space="preserve"> ne soient soumis à son appréciation, que la mesure d'interdiction de circulation des mineurs de 13 ans contestée était justifiée par l'existence de risques particuliers et adaptée aux objectifs visés, la cour administrative d'appel de Marseille a entaché son arrêt d'inexacte qualification juridique des faits. Il résulte de ce qui précède que, sans qu'il soit besoin d'examiner les autres moyens du pourvoi, l'arrêt du 20 mars 2017 doit être annulé dans la mesure où il est attaqué.</w:t>
      </w:r>
    </w:p>
    <w:p w:rsidR="00663A06" w:rsidRPr="00E3303A" w:rsidRDefault="00E3303A" w:rsidP="00663A06">
      <w:pPr>
        <w:rPr>
          <w:b/>
        </w:rPr>
      </w:pPr>
      <w:r w:rsidRPr="00E3303A">
        <w:rPr>
          <w:b/>
        </w:rPr>
        <w:t>CE 9 novembre 2018 Association La Vie Dejean</w:t>
      </w:r>
    </w:p>
    <w:p w:rsidR="00E3303A" w:rsidRDefault="00E3303A" w:rsidP="00663A06">
      <w:r>
        <w:t xml:space="preserve">Sur le bien-fondé de l'arrêt attaqué : </w:t>
      </w:r>
    </w:p>
    <w:p w:rsidR="00F23DAC" w:rsidRDefault="00E3303A" w:rsidP="00663A06">
      <w:r>
        <w:t xml:space="preserve">4. Considérant qu'après avoir relevé que, depuis plusieurs années, la chaussée et les trottoirs de la rue Dejean étaient en permanence encombrés par des étalages installés sans autorisation et qu'il en résultait des nuisances et des troubles importants, la cour a analysé les mesures destinées à prévenir les </w:t>
      </w:r>
      <w:r>
        <w:lastRenderedPageBreak/>
        <w:t xml:space="preserve">troubles à l'ordre public prises par le préfet de police et les mesures prises par la maire de Paris pour améliorer la salubrité publique ; qu'au terme d'une appréciation souveraine exempte de dénaturation, elle a estimé que ces mesures ne pouvaient être regardées comme appropriées eu égard à l'ampleur et à la persistance des problèmes ; </w:t>
      </w:r>
    </w:p>
    <w:p w:rsidR="00F23DAC" w:rsidRDefault="00E3303A" w:rsidP="00663A06">
      <w:proofErr w:type="gramStart"/>
      <w:r>
        <w:t>qu'en</w:t>
      </w:r>
      <w:proofErr w:type="gramEnd"/>
      <w:r>
        <w:t xml:space="preserve"> en déduisant une carence fautive de nature à engager la responsabilité de la ville de Paris, la cour a exactement qualifié les faits qui lui étaient soumis ; </w:t>
      </w:r>
    </w:p>
    <w:p w:rsidR="00E3303A" w:rsidRDefault="00E3303A" w:rsidP="00663A06">
      <w:r>
        <w:t>qu'en se bornant à rappeler que les difficultés de l'activité de police administrative n'exonéraient pas les services compétents de leur obligation de prendre des mesures appropriées, réglementaires ou matérielles, pour que les usagers de la voie publique bénéficient d'un niveau raisonnable de sécurité et de salubrité, elle n'a pas, contrairement à ce qui est soutenu par les requérants, fait peser sur les autorités de police une obligation de résultat ; qu'elle n'a par ailleurs pas commis d'erreur de droit en ne subordonnant pas la responsabilité de la ville de Paris en matière de respect de la sécurité et de la salubrité publiques à l'existence d'une faute lourde de sa part ; qu'enfin, il ne ressort pas des termes de son arrêt qu'elle aurait méconnu la répartition des pouvoirs de police municipale entre le préfet de police et le maire de Paris en matière de circulation, de stationnement ou de gestion de l'espace public ;</w:t>
      </w:r>
    </w:p>
    <w:p w:rsidR="00F23DAC" w:rsidRDefault="00F23DAC" w:rsidP="00663A06">
      <w:pPr>
        <w:rPr>
          <w:b/>
        </w:rPr>
      </w:pPr>
    </w:p>
    <w:p w:rsidR="00F23DAC" w:rsidRDefault="00F23DAC" w:rsidP="00663A06">
      <w:pPr>
        <w:rPr>
          <w:b/>
        </w:rPr>
      </w:pPr>
      <w:r>
        <w:rPr>
          <w:b/>
        </w:rPr>
        <w:t xml:space="preserve">CE 22 novembre 2019 M et Mme A </w:t>
      </w:r>
    </w:p>
    <w:p w:rsidR="00F23DAC" w:rsidRDefault="00F23DAC" w:rsidP="00663A06">
      <w:r>
        <w:t xml:space="preserve">2. L'article L. 2213-23 du code général des collectivités territoriales dispose que : " Le maire exerce la police des baignades et des activités nautiques pratiquées à partir du rivage avec des engins de plage et des engins non immatriculés. Cette police s'exerce en mer jusqu'à une limite fixée à 300 mètres à compter de la limite des eaux. / Le maire réglemente l'utilisation des aménagements réalisés pour la pratique de ces activités. Il pourvoit d'urgence à toutes les mesures d'assistance et de secours. / Le maire délimite une ou plusieurs zones surveillées dans les parties du littoral présentant une garantie suffisante pour la sécurité des baignades et des activités mentionnées ci-dessus. Il détermine des périodes de surveillance. Hors des zones et des périodes ainsi définies, les baignades et activités nautiques sont pratiquées aux risques et périls des intéressés. / Le maire est tenu d'informer le public par une publicité appropriée, en mairie et sur les lieux où elles se pratiquent, des conditions dans lesquelles les baignades et les activités nautiques sont réglementées ". </w:t>
      </w:r>
    </w:p>
    <w:p w:rsidR="00F23DAC" w:rsidRDefault="00F23DAC" w:rsidP="00663A06">
      <w:r>
        <w:t xml:space="preserve">Par ailleurs, l'article L. 2215-1 du même code dispose que : " (...) Le représentant de l'Etat dans le département peut prendre, pour toutes les communes du département ou plusieurs d'entre elles, et dans tous les cas où il n'y aurait pas été pourvu par les autorités municipales, toutes mesures relatives au maintien de la salubrité, de la sûreté et de la tranquillité publiques. (...) </w:t>
      </w:r>
      <w:proofErr w:type="gramStart"/>
      <w:r>
        <w:t>".Il</w:t>
      </w:r>
      <w:proofErr w:type="gramEnd"/>
      <w:r>
        <w:t xml:space="preserve"> résulte de ces dispositions qu'il incombe au maire d'une commune sur le territoire de laquelle sont situés des lieux de baignade qui, en dehors des zones surveillées délimitées à cet effet, sont fréquentées par des baigneurs et par des pratiquants de sports nautiques comme le surf, de prendre les mesures de publicité appropriées pour signaler la réglementation applicable et les dangers qui excèderaient ceux contre lesquels les intéressés doivent normalement se prémunir. En cas de carence du maire sur ce point, il revient au préfet d'exercer les pouvoirs de police qu'il tient des dispositions de l'article L. 2215-1 du code général des collectivités territoriales.</w:t>
      </w:r>
    </w:p>
    <w:p w:rsidR="00F23DAC" w:rsidRPr="00F23DAC" w:rsidRDefault="00F23DAC" w:rsidP="00663A06">
      <w:pPr>
        <w:rPr>
          <w:b/>
        </w:rPr>
      </w:pPr>
      <w:r>
        <w:t xml:space="preserve">3. En premier lieu, il ressort des pièces du dossier soumis aux juges du fond, d'une part, que la partie du rivage où s'est déroulé l'accident dont a été victime M. A... avait fait l'objet d'un arrêté du maire de </w:t>
      </w:r>
      <w:proofErr w:type="spellStart"/>
      <w:r>
        <w:t>Saint-Leu</w:t>
      </w:r>
      <w:proofErr w:type="spellEnd"/>
      <w:r>
        <w:t xml:space="preserve"> en date du 1er mars 2011 portant réglementation de la baignade, qui la désignait comme un site dangereux, dont l'accès ne pouvait se faire qu'aux risques et périls de la population et qui y interdisait la baignade et, d'autre part, qu'avait été installé de manière visible sur le site un panneau sur lequel était mentionné : " baignade interdite, site dangereux, accès à vos risques et périls ". En jugeant, par un arrêt suffisamment motivé sur ce point, que cette information du public, même si elle ne faisait pas spécifiquement état de la menace des requins, constituait une publicité appropriée de la réglementation applicable et des dangers du site, la cour a exactement qualifié les pièces du dossier qui lui était soumis. Elle a pu, par suite, sans erreur de droit, en déduire que, l'autorité municipale ayant rempli l'obligation d'information qui lui incombait, il ne pouvait être reproché au préfet de La Réunion de n'avoir pas usé du pouvoir de substitution qu'il tient des dispositions de l'article L. 2215-1 du code général des collectivités territoriales.</w:t>
      </w:r>
      <w:r>
        <w:br/>
      </w:r>
      <w:r>
        <w:br/>
        <w:t xml:space="preserve">4. En deuxième lieu, en estimant que, tant en raison de ce que M. A... était un surfeur expérimenté, résidant à la Réunion depuis 1981 et connaissant les lieux, qu'en raison des informations fournies par les autorités publiques, l'intéressé ne pouvait ignorer les risques d'attaques de requins et que l'accident dont il a été victime était, par suite, imputable à sa seule imprudence, la cour a, par un arrêt suffisamment </w:t>
      </w:r>
      <w:r>
        <w:lastRenderedPageBreak/>
        <w:t>motivé sur ce point, porté sur les pièces du dossier qui lui était soumis une appréciation souveraine, qui n'est pas entachée de dénaturation.</w:t>
      </w:r>
    </w:p>
    <w:sectPr w:rsidR="00F23DAC" w:rsidRPr="00F23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81"/>
    <w:rsid w:val="002655CD"/>
    <w:rsid w:val="0029495F"/>
    <w:rsid w:val="002B0C2B"/>
    <w:rsid w:val="00341624"/>
    <w:rsid w:val="003F7B0C"/>
    <w:rsid w:val="0042131D"/>
    <w:rsid w:val="005662C1"/>
    <w:rsid w:val="00600C91"/>
    <w:rsid w:val="00663A06"/>
    <w:rsid w:val="00961642"/>
    <w:rsid w:val="009A0781"/>
    <w:rsid w:val="009B6548"/>
    <w:rsid w:val="009C08B4"/>
    <w:rsid w:val="00A575A0"/>
    <w:rsid w:val="00AF29C6"/>
    <w:rsid w:val="00C33240"/>
    <w:rsid w:val="00D5255A"/>
    <w:rsid w:val="00E3303A"/>
    <w:rsid w:val="00F02CE1"/>
    <w:rsid w:val="00F23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6C9F"/>
  <w15:chartTrackingRefBased/>
  <w15:docId w15:val="{B47849C9-DEB1-4398-A164-C3E037B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24"/>
    <w:pPr>
      <w:spacing w:after="120" w:line="240" w:lineRule="auto"/>
      <w:ind w:left="720" w:firstLine="696"/>
      <w:jc w:val="both"/>
    </w:pPr>
    <w:rPr>
      <w:rFonts w:ascii="Times New Roman" w:hAnsi="Times New Roman" w:cs="Times New Roman"/>
      <w:sz w:val="20"/>
      <w:szCs w:val="20"/>
      <w:lang w:eastAsia="fr-FR"/>
    </w:rPr>
  </w:style>
  <w:style w:type="paragraph" w:styleId="Titre3">
    <w:name w:val="heading 3"/>
    <w:aliases w:val="section,Section,(section),(Chapitre),(section)1,Section1,section1,(Chapitre)1,section2,Section2,(section)2,(Chapitre)2,section3,Section3,(section)3,(Chapitre)3,section4,Section4,(section)4,(Chapitre)4,section5,Section5,(section)5,(Chapitre)5"/>
    <w:basedOn w:val="Normal"/>
    <w:next w:val="Normal"/>
    <w:link w:val="Titre3Car"/>
    <w:autoRedefine/>
    <w:qFormat/>
    <w:rsid w:val="009B6548"/>
    <w:pPr>
      <w:keepNext/>
      <w:spacing w:before="120" w:after="60"/>
      <w:ind w:left="0" w:firstLine="0"/>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section Car,Section Car,(section) Car,(Chapitre) Car,(section)1 Car,Section1 Car,section1 Car,(Chapitre)1 Car,section2 Car,Section2 Car,(section)2 Car,(Chapitre)2 Car,section3 Car,Section3 Car,(section)3 Car,(Chapitre)3 Car,section4 Car"/>
    <w:basedOn w:val="Policepardfaut"/>
    <w:link w:val="Titre3"/>
    <w:rsid w:val="009B6548"/>
    <w:rPr>
      <w:rFonts w:ascii="Times New Roman" w:hAnsi="Times New Roman" w:cs="Arial"/>
      <w:b/>
      <w:bCs/>
      <w:sz w:val="24"/>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4719</Words>
  <Characters>25958</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brisson</dc:creator>
  <cp:keywords/>
  <dc:description/>
  <cp:lastModifiedBy>brisson</cp:lastModifiedBy>
  <cp:revision>2</cp:revision>
  <dcterms:created xsi:type="dcterms:W3CDTF">2020-09-20T22:32:00Z</dcterms:created>
  <dcterms:modified xsi:type="dcterms:W3CDTF">2020-09-20T22:32:00Z</dcterms:modified>
</cp:coreProperties>
</file>